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21656B" w14:textId="77777777" w:rsidR="00BC121B" w:rsidRDefault="00BC121B">
      <w:pPr>
        <w:widowControl w:val="0"/>
        <w:rPr>
          <w:rFonts w:ascii="Calibri" w:eastAsia="Calibri" w:hAnsi="Calibri" w:cs="Calibri"/>
        </w:rPr>
      </w:pPr>
    </w:p>
    <w:p w14:paraId="173C8DCB" w14:textId="77777777" w:rsidR="00BC121B" w:rsidRDefault="00BC121B">
      <w:pPr>
        <w:widowControl w:val="0"/>
      </w:pPr>
    </w:p>
    <w:tbl>
      <w:tblPr>
        <w:tblStyle w:val="a"/>
        <w:tblW w:w="9606" w:type="dxa"/>
        <w:tblInd w:w="-115" w:type="dxa"/>
        <w:tblLayout w:type="fixed"/>
        <w:tblLook w:val="0400" w:firstRow="0" w:lastRow="0" w:firstColumn="0" w:lastColumn="0" w:noHBand="0" w:noVBand="1"/>
      </w:tblPr>
      <w:tblGrid>
        <w:gridCol w:w="3936"/>
        <w:gridCol w:w="5670"/>
      </w:tblGrid>
      <w:tr w:rsidR="00BC121B" w14:paraId="4E54AA22" w14:textId="77777777">
        <w:tc>
          <w:tcPr>
            <w:tcW w:w="3936" w:type="dxa"/>
          </w:tcPr>
          <w:p w14:paraId="09186902" w14:textId="77777777" w:rsidR="00BC121B" w:rsidRDefault="00000000">
            <w:pPr>
              <w:spacing w:after="20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CÔNG TY TNHH ….</w:t>
            </w:r>
          </w:p>
        </w:tc>
        <w:tc>
          <w:tcPr>
            <w:tcW w:w="5670" w:type="dxa"/>
          </w:tcPr>
          <w:p w14:paraId="0881376A" w14:textId="77777777" w:rsidR="00BC121B" w:rsidRDefault="00000000">
            <w:pPr>
              <w:spacing w:after="200"/>
              <w:jc w:val="center"/>
              <w:rPr>
                <w:rFonts w:ascii="Times New Roman" w:eastAsia="Times New Roman" w:hAnsi="Times New Roman" w:cs="Times New Roman"/>
                <w:b/>
                <w:bCs/>
                <w:i/>
                <w:iCs/>
                <w:sz w:val="26"/>
                <w:szCs w:val="26"/>
              </w:rPr>
            </w:pPr>
            <w:bookmarkStart w:id="0" w:name="_gjdgxs" w:colFirst="0" w:colLast="0"/>
            <w:bookmarkEnd w:id="0"/>
            <w:r>
              <w:rPr>
                <w:rFonts w:ascii="Times New Roman" w:eastAsia="Times New Roman" w:hAnsi="Times New Roman" w:cs="Times New Roman"/>
                <w:b/>
                <w:bCs/>
                <w:sz w:val="26"/>
                <w:szCs w:val="26"/>
              </w:rPr>
              <w:t xml:space="preserve">CỘNG HÒA XÃ HỘI CHỦ NGHĨA VIỆT NAM </w:t>
            </w:r>
            <w:r>
              <w:rPr>
                <w:rFonts w:ascii="Times New Roman" w:eastAsia="Times New Roman" w:hAnsi="Times New Roman" w:cs="Times New Roman"/>
                <w:b/>
                <w:bCs/>
                <w:sz w:val="26"/>
                <w:szCs w:val="26"/>
                <w:u w:val="single"/>
              </w:rPr>
              <w:t>Độc lập - Tự do - Hạnh phúc</w:t>
            </w:r>
          </w:p>
          <w:p w14:paraId="60378E22" w14:textId="6715509B" w:rsidR="00BC121B" w:rsidRDefault="00000000">
            <w:pPr>
              <w:spacing w:after="200"/>
              <w:jc w:val="right"/>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xml:space="preserve">………, ngày ….tháng…. năm </w:t>
            </w:r>
            <w:r w:rsidR="00F30FF4">
              <w:rPr>
                <w:rFonts w:ascii="Times New Roman" w:eastAsia="Times New Roman" w:hAnsi="Times New Roman" w:cs="Times New Roman"/>
                <w:i/>
                <w:iCs/>
                <w:sz w:val="26"/>
                <w:szCs w:val="26"/>
              </w:rPr>
              <w:t>2026</w:t>
            </w:r>
          </w:p>
        </w:tc>
      </w:tr>
      <w:tr w:rsidR="00F30FF4" w:rsidRPr="00F30FF4" w14:paraId="4AA71869" w14:textId="77777777">
        <w:tc>
          <w:tcPr>
            <w:tcW w:w="3936" w:type="dxa"/>
          </w:tcPr>
          <w:p w14:paraId="210FB6E4" w14:textId="77777777" w:rsidR="00BC121B" w:rsidRPr="00F30FF4" w:rsidRDefault="00BC121B">
            <w:pPr>
              <w:spacing w:after="200"/>
              <w:rPr>
                <w:rFonts w:ascii="Times New Roman" w:eastAsia="Times New Roman" w:hAnsi="Times New Roman" w:cs="Times New Roman"/>
                <w:b/>
                <w:bCs/>
                <w:color w:val="006600"/>
                <w:sz w:val="26"/>
                <w:szCs w:val="26"/>
              </w:rPr>
            </w:pPr>
          </w:p>
        </w:tc>
        <w:tc>
          <w:tcPr>
            <w:tcW w:w="5670" w:type="dxa"/>
          </w:tcPr>
          <w:p w14:paraId="72E808D0" w14:textId="77777777" w:rsidR="00BC121B" w:rsidRPr="00F30FF4" w:rsidRDefault="00BC121B">
            <w:pPr>
              <w:spacing w:after="200"/>
              <w:jc w:val="center"/>
              <w:rPr>
                <w:rFonts w:ascii="Times New Roman" w:eastAsia="Times New Roman" w:hAnsi="Times New Roman" w:cs="Times New Roman"/>
                <w:color w:val="006600"/>
                <w:sz w:val="26"/>
                <w:szCs w:val="26"/>
              </w:rPr>
            </w:pPr>
          </w:p>
        </w:tc>
      </w:tr>
    </w:tbl>
    <w:p w14:paraId="07604FEF" w14:textId="77777777" w:rsidR="00BC121B" w:rsidRPr="00F30FF4" w:rsidRDefault="00000000">
      <w:pPr>
        <w:spacing w:after="200"/>
        <w:jc w:val="center"/>
        <w:rPr>
          <w:rFonts w:ascii="Times New Roman" w:eastAsia="Times New Roman" w:hAnsi="Times New Roman" w:cs="Times New Roman"/>
          <w:b/>
          <w:bCs/>
          <w:color w:val="006600"/>
          <w:sz w:val="26"/>
          <w:szCs w:val="26"/>
        </w:rPr>
      </w:pPr>
      <w:r w:rsidRPr="00F30FF4">
        <w:rPr>
          <w:rFonts w:ascii="Times New Roman" w:eastAsia="Times New Roman" w:hAnsi="Times New Roman" w:cs="Times New Roman"/>
          <w:b/>
          <w:bCs/>
          <w:color w:val="006600"/>
          <w:sz w:val="26"/>
          <w:szCs w:val="26"/>
        </w:rPr>
        <w:t xml:space="preserve">QUY CHẾ </w:t>
      </w:r>
    </w:p>
    <w:p w14:paraId="14E74ADC" w14:textId="77777777" w:rsidR="00BC121B" w:rsidRPr="00F30FF4" w:rsidRDefault="00000000">
      <w:pPr>
        <w:spacing w:after="200"/>
        <w:jc w:val="center"/>
        <w:rPr>
          <w:rFonts w:ascii="Times New Roman" w:eastAsia="Times New Roman" w:hAnsi="Times New Roman" w:cs="Times New Roman"/>
          <w:b/>
          <w:bCs/>
          <w:color w:val="006600"/>
          <w:sz w:val="26"/>
          <w:szCs w:val="26"/>
        </w:rPr>
      </w:pPr>
      <w:r w:rsidRPr="00F30FF4">
        <w:rPr>
          <w:rFonts w:ascii="Times New Roman" w:eastAsia="Times New Roman" w:hAnsi="Times New Roman" w:cs="Times New Roman"/>
          <w:b/>
          <w:bCs/>
          <w:color w:val="006600"/>
          <w:sz w:val="26"/>
          <w:szCs w:val="26"/>
        </w:rPr>
        <w:t>TIỀN LƯƠNG, TIỀN THƯỞNG CHO NGƯỜI LAO ĐỘNG</w:t>
      </w:r>
    </w:p>
    <w:p w14:paraId="082F94E5" w14:textId="77777777" w:rsidR="00BC121B" w:rsidRDefault="00000000">
      <w:pPr>
        <w:spacing w:after="20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I. MỤC ĐÍCH</w:t>
      </w:r>
    </w:p>
    <w:p w14:paraId="246FC6CC" w14:textId="77777777" w:rsidR="00BC121B" w:rsidRDefault="00000000">
      <w:pPr>
        <w:numPr>
          <w:ilvl w:val="0"/>
          <w:numId w:val="1"/>
        </w:numPr>
        <w:ind w:left="27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Quy định về trả tiền lương, tiền thưởng cho từng cá nhân, từng bộ phận nhằm mục đích khuyến khích người lao động làm việc, hoàn thành tốt công việc theo chức danh và đóng góp quan trọng vào việc hoàn thành kế hoạch sản xuất kinh doanh của công ty.</w:t>
      </w:r>
    </w:p>
    <w:p w14:paraId="6F2A3D06" w14:textId="77777777" w:rsidR="00BC121B" w:rsidRDefault="00000000">
      <w:pPr>
        <w:numPr>
          <w:ilvl w:val="0"/>
          <w:numId w:val="1"/>
        </w:numPr>
        <w:ind w:left="27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Quy định về các khoản mà người lao động được nhận khi làm làm việc chính thức tại công ty.</w:t>
      </w:r>
    </w:p>
    <w:p w14:paraId="427402DF" w14:textId="77777777" w:rsidR="00BC121B" w:rsidRDefault="00000000">
      <w:pPr>
        <w:numPr>
          <w:ilvl w:val="0"/>
          <w:numId w:val="1"/>
        </w:numPr>
        <w:ind w:left="27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Quy định về cách tính tiền thưởng, tiền lương của các khoản tiền lương và phụ cấp theo lương.</w:t>
      </w:r>
    </w:p>
    <w:p w14:paraId="779EE9DE" w14:textId="77777777" w:rsidR="00BC121B" w:rsidRDefault="00000000">
      <w:pPr>
        <w:numPr>
          <w:ilvl w:val="0"/>
          <w:numId w:val="1"/>
        </w:numPr>
        <w:ind w:left="27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Thực thi theo đúng quy định của pháp luật về lao động về lương thưởng và chế độ dành cho người lao động.</w:t>
      </w:r>
    </w:p>
    <w:p w14:paraId="267EE715" w14:textId="77777777" w:rsidR="00BC121B" w:rsidRDefault="00000000">
      <w:pPr>
        <w:numPr>
          <w:ilvl w:val="0"/>
          <w:numId w:val="1"/>
        </w:numPr>
        <w:spacing w:after="200"/>
        <w:ind w:left="27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Đảm bảo đời sống cho người lao động trong Công ty, yên tâm làm việc, công tác đáp ứng mức sống cơ bản cho người lao động trong công ty.</w:t>
      </w:r>
    </w:p>
    <w:p w14:paraId="6D73C6CD" w14:textId="77777777" w:rsidR="00BC121B" w:rsidRDefault="00000000">
      <w:pPr>
        <w:spacing w:after="20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II. CĂN CỨ PHÁP LÝ</w:t>
      </w:r>
    </w:p>
    <w:p w14:paraId="0D9E8CD4" w14:textId="77777777" w:rsidR="00BC121B" w:rsidRDefault="00000000">
      <w:pPr>
        <w:numPr>
          <w:ilvl w:val="0"/>
          <w:numId w:val="2"/>
        </w:numPr>
        <w:tabs>
          <w:tab w:val="left" w:pos="284"/>
        </w:tabs>
        <w:spacing w:before="240"/>
        <w:ind w:left="270"/>
        <w:jc w:val="both"/>
        <w:rPr>
          <w:rFonts w:ascii="Times New Roman" w:eastAsia="Times New Roman" w:hAnsi="Times New Roman" w:cs="Times New Roman"/>
        </w:rPr>
      </w:pPr>
      <w:r>
        <w:rPr>
          <w:rFonts w:ascii="Times New Roman" w:eastAsia="Times New Roman" w:hAnsi="Times New Roman" w:cs="Times New Roman"/>
          <w:sz w:val="26"/>
          <w:szCs w:val="26"/>
        </w:rPr>
        <w:t>Căn cứ Bộ luật Lao động số 45/2019/QH14 được Quốc hội nước Cộng Hòa Xã Hội Chủ Nghĩa Việt Nam thông qua ngày 20/11/2019, có hiệu lực từ ngày 01/01/2021.</w:t>
      </w:r>
    </w:p>
    <w:p w14:paraId="168D594A" w14:textId="77777777" w:rsidR="00BC121B" w:rsidRDefault="00000000">
      <w:pPr>
        <w:numPr>
          <w:ilvl w:val="0"/>
          <w:numId w:val="2"/>
        </w:numPr>
        <w:tabs>
          <w:tab w:val="left" w:pos="284"/>
        </w:tabs>
        <w:ind w:left="270"/>
        <w:jc w:val="both"/>
        <w:rPr>
          <w:rFonts w:ascii="Times New Roman" w:eastAsia="Times New Roman" w:hAnsi="Times New Roman" w:cs="Times New Roman"/>
        </w:rPr>
      </w:pPr>
      <w:r>
        <w:rPr>
          <w:rFonts w:ascii="Times New Roman" w:eastAsia="Times New Roman" w:hAnsi="Times New Roman" w:cs="Times New Roman"/>
          <w:sz w:val="26"/>
          <w:szCs w:val="26"/>
        </w:rPr>
        <w:t>Căn cứ Nghị định số 145/2020/NĐ-CP ngày 14/12/2020 của Chính phủ quy định chi tiết và hướng dẫn thi hành một số điều của Bộ luật Lao động.</w:t>
      </w:r>
    </w:p>
    <w:p w14:paraId="510DDD2D" w14:textId="77777777" w:rsidR="00F30FF4" w:rsidRPr="00F30FF4" w:rsidRDefault="00F30FF4">
      <w:pPr>
        <w:numPr>
          <w:ilvl w:val="0"/>
          <w:numId w:val="2"/>
        </w:numPr>
        <w:tabs>
          <w:tab w:val="left" w:pos="284"/>
        </w:tabs>
        <w:ind w:left="270"/>
        <w:jc w:val="both"/>
        <w:rPr>
          <w:rFonts w:ascii="Times New Roman" w:eastAsia="Times New Roman" w:hAnsi="Times New Roman" w:cs="Times New Roman"/>
        </w:rPr>
      </w:pPr>
      <w:r>
        <w:rPr>
          <w:rFonts w:ascii="Times New Roman" w:eastAsia="Times New Roman" w:hAnsi="Times New Roman" w:cs="Times New Roman"/>
          <w:sz w:val="26"/>
          <w:szCs w:val="26"/>
        </w:rPr>
        <w:t>- Căn cứ Nghị định 293/2025/NĐ-CP hiệu lực từ ngày 1/1/2026 của Chính phủ quy định mức lương tối thiểu vùng.</w:t>
      </w:r>
    </w:p>
    <w:p w14:paraId="73C962CE" w14:textId="22988AB4" w:rsidR="00BC121B" w:rsidRDefault="00000000">
      <w:pPr>
        <w:numPr>
          <w:ilvl w:val="0"/>
          <w:numId w:val="2"/>
        </w:numPr>
        <w:tabs>
          <w:tab w:val="left" w:pos="284"/>
        </w:tabs>
        <w:ind w:left="270"/>
        <w:jc w:val="both"/>
        <w:rPr>
          <w:rFonts w:ascii="Times New Roman" w:eastAsia="Times New Roman" w:hAnsi="Times New Roman" w:cs="Times New Roman"/>
        </w:rPr>
      </w:pPr>
      <w:r>
        <w:rPr>
          <w:rFonts w:ascii="Times New Roman" w:eastAsia="Times New Roman" w:hAnsi="Times New Roman" w:cs="Times New Roman"/>
          <w:sz w:val="26"/>
          <w:szCs w:val="26"/>
        </w:rPr>
        <w:t>Căn cứ Luật Doanh nghiệp số 59/2020/QH14 được Quốc hội nước Cộng Hòa Xã Hội Chủ Nghĩa Việt Nam thông qua ngày 17/06/2020, có hiệu lực từ ngày 01/01/2021.</w:t>
      </w:r>
    </w:p>
    <w:p w14:paraId="0FE05F0B" w14:textId="77777777" w:rsidR="00BC121B" w:rsidRDefault="00000000">
      <w:pPr>
        <w:numPr>
          <w:ilvl w:val="0"/>
          <w:numId w:val="2"/>
        </w:numPr>
        <w:tabs>
          <w:tab w:val="left" w:pos="284"/>
        </w:tabs>
        <w:ind w:left="270"/>
        <w:jc w:val="both"/>
        <w:rPr>
          <w:rFonts w:ascii="Times New Roman" w:eastAsia="Times New Roman" w:hAnsi="Times New Roman" w:cs="Times New Roman"/>
        </w:rPr>
      </w:pPr>
      <w:r>
        <w:rPr>
          <w:rFonts w:ascii="Times New Roman" w:eastAsia="Times New Roman" w:hAnsi="Times New Roman" w:cs="Times New Roman"/>
          <w:sz w:val="26"/>
          <w:szCs w:val="26"/>
        </w:rPr>
        <w:t>Căn cứ Điều lệ tổ chức và hoạt động của Công ty Cổ phần ABC Việt Nam.</w:t>
      </w:r>
    </w:p>
    <w:p w14:paraId="2DAAD32F" w14:textId="48740EDD" w:rsidR="00BC121B" w:rsidRDefault="00000000">
      <w:pPr>
        <w:numPr>
          <w:ilvl w:val="0"/>
          <w:numId w:val="2"/>
        </w:numPr>
        <w:tabs>
          <w:tab w:val="left" w:pos="284"/>
        </w:tabs>
        <w:ind w:left="270"/>
        <w:jc w:val="both"/>
        <w:rPr>
          <w:rFonts w:ascii="Times New Roman" w:eastAsia="Times New Roman" w:hAnsi="Times New Roman" w:cs="Times New Roman"/>
        </w:rPr>
      </w:pPr>
      <w:r>
        <w:rPr>
          <w:rFonts w:ascii="Times New Roman" w:eastAsia="Times New Roman" w:hAnsi="Times New Roman" w:cs="Times New Roman"/>
          <w:sz w:val="26"/>
          <w:szCs w:val="26"/>
        </w:rPr>
        <w:t xml:space="preserve">Căn cứ Biên bản họp Hội đồng Quản trị ngày </w:t>
      </w:r>
      <w:r w:rsidR="00F30FF4">
        <w:rPr>
          <w:rFonts w:ascii="Times New Roman" w:eastAsia="Times New Roman" w:hAnsi="Times New Roman" w:cs="Times New Roman"/>
          <w:sz w:val="26"/>
          <w:szCs w:val="26"/>
        </w:rPr>
        <w:t>01</w:t>
      </w:r>
      <w:r>
        <w:rPr>
          <w:rFonts w:ascii="Times New Roman" w:eastAsia="Times New Roman" w:hAnsi="Times New Roman" w:cs="Times New Roman"/>
          <w:sz w:val="26"/>
          <w:szCs w:val="26"/>
        </w:rPr>
        <w:t>/01/202</w:t>
      </w:r>
      <w:r w:rsidR="00F30FF4">
        <w:rPr>
          <w:rFonts w:ascii="Times New Roman" w:eastAsia="Times New Roman" w:hAnsi="Times New Roman" w:cs="Times New Roman"/>
          <w:sz w:val="26"/>
          <w:szCs w:val="26"/>
        </w:rPr>
        <w:t>6</w:t>
      </w:r>
      <w:r>
        <w:rPr>
          <w:rFonts w:ascii="Times New Roman" w:eastAsia="Times New Roman" w:hAnsi="Times New Roman" w:cs="Times New Roman"/>
          <w:sz w:val="26"/>
          <w:szCs w:val="26"/>
        </w:rPr>
        <w:t xml:space="preserve"> về việc thông qua Quy chế lương – thưởng năm 202</w:t>
      </w:r>
      <w:r w:rsidR="00F30FF4">
        <w:rPr>
          <w:rFonts w:ascii="Times New Roman" w:eastAsia="Times New Roman" w:hAnsi="Times New Roman" w:cs="Times New Roman"/>
          <w:sz w:val="26"/>
          <w:szCs w:val="26"/>
        </w:rPr>
        <w:t>6</w:t>
      </w:r>
      <w:r>
        <w:rPr>
          <w:rFonts w:ascii="Times New Roman" w:eastAsia="Times New Roman" w:hAnsi="Times New Roman" w:cs="Times New Roman"/>
          <w:sz w:val="26"/>
          <w:szCs w:val="26"/>
        </w:rPr>
        <w:t xml:space="preserve"> của Công ty.</w:t>
      </w:r>
    </w:p>
    <w:p w14:paraId="0D746FAB" w14:textId="77777777" w:rsidR="00BC121B" w:rsidRDefault="00000000">
      <w:pPr>
        <w:numPr>
          <w:ilvl w:val="0"/>
          <w:numId w:val="2"/>
        </w:numPr>
        <w:tabs>
          <w:tab w:val="left" w:pos="284"/>
        </w:tabs>
        <w:ind w:left="270"/>
        <w:jc w:val="both"/>
        <w:rPr>
          <w:rFonts w:ascii="Times New Roman" w:eastAsia="Times New Roman" w:hAnsi="Times New Roman" w:cs="Times New Roman"/>
        </w:rPr>
      </w:pPr>
      <w:r>
        <w:rPr>
          <w:rFonts w:ascii="Times New Roman" w:eastAsia="Times New Roman" w:hAnsi="Times New Roman" w:cs="Times New Roman"/>
          <w:sz w:val="26"/>
          <w:szCs w:val="26"/>
        </w:rPr>
        <w:t>Căn cứ vào điều lệ tổ chức và hoạt động của Công ty TNHH ….</w:t>
      </w:r>
    </w:p>
    <w:p w14:paraId="46ECB26F" w14:textId="77777777" w:rsidR="00BC121B" w:rsidRDefault="00000000">
      <w:pPr>
        <w:numPr>
          <w:ilvl w:val="0"/>
          <w:numId w:val="2"/>
        </w:numPr>
        <w:tabs>
          <w:tab w:val="left" w:pos="284"/>
        </w:tabs>
        <w:ind w:left="270"/>
        <w:jc w:val="both"/>
        <w:rPr>
          <w:rFonts w:ascii="Times New Roman" w:eastAsia="Times New Roman" w:hAnsi="Times New Roman" w:cs="Times New Roman"/>
        </w:rPr>
      </w:pPr>
      <w:r>
        <w:rPr>
          <w:rFonts w:ascii="Times New Roman" w:eastAsia="Times New Roman" w:hAnsi="Times New Roman" w:cs="Times New Roman"/>
          <w:sz w:val="26"/>
          <w:szCs w:val="26"/>
        </w:rPr>
        <w:lastRenderedPageBreak/>
        <w:t>Căn cứ biên bản họp hội đồng thành viên ngày …/…/….. về việc thông qua quy chế trả lương, thưởng của công ty từ năm….</w:t>
      </w:r>
    </w:p>
    <w:p w14:paraId="018638D3" w14:textId="77777777" w:rsidR="00BC121B" w:rsidRDefault="00000000">
      <w:pPr>
        <w:numPr>
          <w:ilvl w:val="0"/>
          <w:numId w:val="2"/>
        </w:numPr>
        <w:tabs>
          <w:tab w:val="left" w:pos="284"/>
        </w:tabs>
        <w:spacing w:after="240"/>
        <w:ind w:left="270"/>
        <w:jc w:val="both"/>
        <w:rPr>
          <w:rFonts w:ascii="Times New Roman" w:eastAsia="Times New Roman" w:hAnsi="Times New Roman" w:cs="Times New Roman"/>
        </w:rPr>
      </w:pPr>
      <w:r>
        <w:rPr>
          <w:rFonts w:ascii="Times New Roman" w:eastAsia="Times New Roman" w:hAnsi="Times New Roman" w:cs="Times New Roman"/>
          <w:sz w:val="26"/>
          <w:szCs w:val="26"/>
        </w:rPr>
        <w:t>Nội dung được quy định trong quy chế này bắt đầu có hiệu lực thi hành kể từ ngày được Sở Lao Động – Thương binh xã hội Thành Phố Hồ Chí Minh thừa nhận và bãi bỏ các quy định trước đây trái với quy chế này.</w:t>
      </w:r>
    </w:p>
    <w:p w14:paraId="153EAABB" w14:textId="77777777" w:rsidR="00BC121B" w:rsidRDefault="00000000">
      <w:pPr>
        <w:spacing w:after="20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III. PHẠM VI ÁP DỤNG</w:t>
      </w:r>
    </w:p>
    <w:p w14:paraId="202884A1" w14:textId="77777777" w:rsidR="00BC121B" w:rsidRDefault="00000000">
      <w:pPr>
        <w:spacing w:after="20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Áp dụng cho toàn thể người lao động làm việc tại công ty.</w:t>
      </w:r>
    </w:p>
    <w:p w14:paraId="4D74D869" w14:textId="77777777" w:rsidR="00BC121B" w:rsidRDefault="00000000">
      <w:pPr>
        <w:spacing w:before="120" w:after="120" w:line="36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IV. NỘI DUNG</w:t>
      </w:r>
    </w:p>
    <w:p w14:paraId="169F1405" w14:textId="77777777" w:rsidR="00BC121B" w:rsidRDefault="00000000">
      <w:pPr>
        <w:spacing w:before="120" w:after="120" w:line="36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Chương 1</w:t>
      </w:r>
    </w:p>
    <w:p w14:paraId="6FCFB3C5" w14:textId="77777777" w:rsidR="00BC121B" w:rsidRDefault="00000000">
      <w:pPr>
        <w:spacing w:before="120" w:after="120" w:line="36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NHỮNG QUY ĐỊNH CHUNG</w:t>
      </w:r>
    </w:p>
    <w:p w14:paraId="0E307000"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1. Lương chính</w:t>
      </w:r>
    </w:p>
    <w:p w14:paraId="734564F9" w14:textId="08C3840F"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Là mức lương trả cho người lao động làm hành chính trong điều kiện bình thường theo thời gian làm việc thực tế trong tháng. Mức lương này được xác định theo quy định tại </w:t>
      </w:r>
      <w:r w:rsidR="00F30FF4">
        <w:rPr>
          <w:rFonts w:ascii="Times New Roman" w:eastAsia="Times New Roman" w:hAnsi="Times New Roman" w:cs="Times New Roman"/>
          <w:sz w:val="26"/>
          <w:szCs w:val="26"/>
        </w:rPr>
        <w:t xml:space="preserve">Nghị định 293/2025/NĐ-CP hiệu lực từ ngày 1/1/2026 </w:t>
      </w:r>
      <w:r>
        <w:rPr>
          <w:rFonts w:ascii="Times New Roman" w:eastAsia="Times New Roman" w:hAnsi="Times New Roman" w:cs="Times New Roman"/>
          <w:sz w:val="26"/>
          <w:szCs w:val="26"/>
        </w:rPr>
        <w:t>về mức lương tối thiểu vùng.</w:t>
      </w:r>
    </w:p>
    <w:p w14:paraId="483F8E68"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2. Lương đóng bảo hiểm xã hội</w:t>
      </w:r>
    </w:p>
    <w:p w14:paraId="4946FFA0" w14:textId="116DE1D0"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Là mức tiền lương và phụ cấp theo lương theo quy định tại </w:t>
      </w:r>
      <w:r w:rsidR="00F30FF4" w:rsidRPr="00F30FF4">
        <w:rPr>
          <w:rFonts w:ascii="Times New Roman" w:eastAsia="Times New Roman" w:hAnsi="Times New Roman" w:cs="Times New Roman"/>
          <w:sz w:val="26"/>
          <w:szCs w:val="26"/>
        </w:rPr>
        <w:t>Luật Bảo hiểm xã hội số 41/2024/QH15, Điều 21 Nghị định 145/2020/NĐ-CP và Điều 17 Thông tư 06/2021/TT-BLĐTBXH</w:t>
      </w:r>
      <w:r>
        <w:rPr>
          <w:rFonts w:ascii="Times New Roman" w:eastAsia="Times New Roman" w:hAnsi="Times New Roman" w:cs="Times New Roman"/>
          <w:sz w:val="26"/>
          <w:szCs w:val="26"/>
        </w:rPr>
        <w:t xml:space="preserve"> hướng dẫn thực hiện về hợp đồng lao động, kỷ luật lao động, trách nhiệm vật chất.</w:t>
      </w:r>
    </w:p>
    <w:p w14:paraId="43C980C8"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3. Lương thử việc</w:t>
      </w:r>
    </w:p>
    <w:p w14:paraId="245E4276"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Được hưởng bằng 85% lương mức lương chính thức của công việc đó.</w:t>
      </w:r>
    </w:p>
    <w:p w14:paraId="4F287F7C"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4. Lương khoán</w:t>
      </w:r>
    </w:p>
    <w:p w14:paraId="5FAF90FC"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Là mức lương dành cho cá nhân trực tiếp làm công việc có tính chất thời vụ, vụ việc, những công việc được giao trong khoảng thời gian nhất định, theo khối lượng công việc chi tiết qua hợp đồng khoán việc.</w:t>
      </w:r>
    </w:p>
    <w:p w14:paraId="6D5A04B0"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5. Cách tính lương</w:t>
      </w:r>
    </w:p>
    <w:p w14:paraId="3172B86B"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Sử dụng hình thức trả lương theo thời gian làm việc thực tế trong tháng bằng ngày công chấm chuẩn làm việc tháng.</w:t>
      </w:r>
    </w:p>
    <w:p w14:paraId="1919AAAE"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6. Lương thời gian</w:t>
      </w:r>
    </w:p>
    <w:p w14:paraId="08B58578"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Được áp dụng cho tất cả nhân viên và các lãnh đạo tham gia làm việc tại công ty.</w:t>
      </w:r>
    </w:p>
    <w:p w14:paraId="36CDFF2C" w14:textId="77777777" w:rsidR="00BC121B" w:rsidRDefault="00000000">
      <w:pPr>
        <w:spacing w:before="120" w:after="120" w:line="36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Chương 2</w:t>
      </w:r>
    </w:p>
    <w:p w14:paraId="17C305C4" w14:textId="77777777" w:rsidR="00BC121B" w:rsidRDefault="00000000">
      <w:pPr>
        <w:spacing w:before="120" w:after="120" w:line="36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CÁC KHOẢN TRỢ CẤP VÀ PHỤ CẤP</w:t>
      </w:r>
    </w:p>
    <w:p w14:paraId="2FC0EE52"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Ngoài mức lương chính nhận được qua thỏa thuận và ghi rõ trong hợp đồng lao động thì người lao động còn nhận được các khoản trợ cấp và phụ cấp như sau:</w:t>
      </w:r>
    </w:p>
    <w:p w14:paraId="17838985"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7. Phụ cấp</w:t>
      </w:r>
    </w:p>
    <w:p w14:paraId="2C3F82F7"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7.1 Chức danh: Giám đốc, Phó Giám đốc, Trưởng phòng kinh doanh, Kế toán trưởng được hưởng phụ cấp trách nhiệm theo các mức sau:</w:t>
      </w:r>
    </w:p>
    <w:tbl>
      <w:tblPr>
        <w:tblStyle w:val="a0"/>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5"/>
        <w:gridCol w:w="1915"/>
        <w:gridCol w:w="1915"/>
        <w:gridCol w:w="1915"/>
        <w:gridCol w:w="1916"/>
      </w:tblGrid>
      <w:tr w:rsidR="00BC121B" w14:paraId="76ECB471" w14:textId="77777777">
        <w:tc>
          <w:tcPr>
            <w:tcW w:w="1915" w:type="dxa"/>
            <w:shd w:val="clear" w:color="auto" w:fill="auto"/>
            <w:vAlign w:val="center"/>
          </w:tcPr>
          <w:p w14:paraId="1B901ACB"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Chức danh</w:t>
            </w:r>
          </w:p>
        </w:tc>
        <w:tc>
          <w:tcPr>
            <w:tcW w:w="1915" w:type="dxa"/>
            <w:shd w:val="clear" w:color="auto" w:fill="auto"/>
            <w:vAlign w:val="center"/>
          </w:tcPr>
          <w:p w14:paraId="0260A827"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Giám đốc</w:t>
            </w:r>
          </w:p>
        </w:tc>
        <w:tc>
          <w:tcPr>
            <w:tcW w:w="1915" w:type="dxa"/>
            <w:shd w:val="clear" w:color="auto" w:fill="auto"/>
            <w:vAlign w:val="center"/>
          </w:tcPr>
          <w:p w14:paraId="511FA1CE"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Phó giám đốc</w:t>
            </w:r>
          </w:p>
        </w:tc>
        <w:tc>
          <w:tcPr>
            <w:tcW w:w="1915" w:type="dxa"/>
            <w:shd w:val="clear" w:color="auto" w:fill="auto"/>
            <w:vAlign w:val="center"/>
          </w:tcPr>
          <w:p w14:paraId="458F3A2C"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Kế toán trưởng</w:t>
            </w:r>
          </w:p>
        </w:tc>
        <w:tc>
          <w:tcPr>
            <w:tcW w:w="1916" w:type="dxa"/>
            <w:shd w:val="clear" w:color="auto" w:fill="auto"/>
            <w:vAlign w:val="center"/>
          </w:tcPr>
          <w:p w14:paraId="22B78EC4"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Trưởng phòng kinh doanh</w:t>
            </w:r>
          </w:p>
        </w:tc>
      </w:tr>
      <w:tr w:rsidR="00BC121B" w14:paraId="6209E10F" w14:textId="77777777">
        <w:tc>
          <w:tcPr>
            <w:tcW w:w="1915" w:type="dxa"/>
            <w:vAlign w:val="center"/>
          </w:tcPr>
          <w:p w14:paraId="71D33893"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Mức hưởng phụ cấp trách nhiệm</w:t>
            </w:r>
          </w:p>
        </w:tc>
        <w:tc>
          <w:tcPr>
            <w:tcW w:w="1915" w:type="dxa"/>
            <w:vAlign w:val="center"/>
          </w:tcPr>
          <w:p w14:paraId="4F2E6466"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 đồng</w:t>
            </w:r>
          </w:p>
        </w:tc>
        <w:tc>
          <w:tcPr>
            <w:tcW w:w="1915" w:type="dxa"/>
            <w:vAlign w:val="center"/>
          </w:tcPr>
          <w:p w14:paraId="41CE86C7"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 đồng</w:t>
            </w:r>
          </w:p>
        </w:tc>
        <w:tc>
          <w:tcPr>
            <w:tcW w:w="1915" w:type="dxa"/>
            <w:vAlign w:val="center"/>
          </w:tcPr>
          <w:p w14:paraId="2B156573"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 đồng</w:t>
            </w:r>
          </w:p>
        </w:tc>
        <w:tc>
          <w:tcPr>
            <w:tcW w:w="1916" w:type="dxa"/>
            <w:vAlign w:val="center"/>
          </w:tcPr>
          <w:p w14:paraId="6EE1A87E"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 đồng</w:t>
            </w:r>
          </w:p>
        </w:tc>
      </w:tr>
    </w:tbl>
    <w:p w14:paraId="300BDCE2"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7.2 Tất cả người lao động chính thức (ngoại trừ lao động thời vụ) ký hợp đồng lao động trên 03 tháng: được hưởng các loại phụ cấp sau:</w:t>
      </w:r>
    </w:p>
    <w:tbl>
      <w:tblPr>
        <w:tblStyle w:val="a1"/>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4"/>
        <w:gridCol w:w="2394"/>
        <w:gridCol w:w="2394"/>
        <w:gridCol w:w="2394"/>
      </w:tblGrid>
      <w:tr w:rsidR="00BC121B" w14:paraId="3F0BCCE4" w14:textId="77777777">
        <w:tc>
          <w:tcPr>
            <w:tcW w:w="2394" w:type="dxa"/>
            <w:vMerge w:val="restart"/>
            <w:shd w:val="clear" w:color="auto" w:fill="auto"/>
            <w:vAlign w:val="center"/>
          </w:tcPr>
          <w:p w14:paraId="52259B2C" w14:textId="77777777" w:rsidR="00BC121B" w:rsidRDefault="00000000">
            <w:pPr>
              <w:spacing w:before="120" w:after="12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Chức danh</w:t>
            </w:r>
          </w:p>
        </w:tc>
        <w:tc>
          <w:tcPr>
            <w:tcW w:w="7182" w:type="dxa"/>
            <w:gridSpan w:val="3"/>
            <w:shd w:val="clear" w:color="auto" w:fill="auto"/>
            <w:vAlign w:val="center"/>
          </w:tcPr>
          <w:p w14:paraId="07BED55C" w14:textId="77777777" w:rsidR="00BC121B" w:rsidRDefault="00000000">
            <w:pPr>
              <w:spacing w:before="120" w:after="12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Phụ cấp mỗi tháng</w:t>
            </w:r>
          </w:p>
        </w:tc>
      </w:tr>
      <w:tr w:rsidR="00BC121B" w14:paraId="77F3F72B" w14:textId="77777777">
        <w:tc>
          <w:tcPr>
            <w:tcW w:w="2394" w:type="dxa"/>
            <w:vMerge/>
            <w:shd w:val="clear" w:color="auto" w:fill="auto"/>
            <w:vAlign w:val="center"/>
          </w:tcPr>
          <w:p w14:paraId="42C00F95" w14:textId="77777777" w:rsidR="00BC121B" w:rsidRDefault="00BC121B">
            <w:pPr>
              <w:widowControl w:val="0"/>
              <w:rPr>
                <w:rFonts w:ascii="Times New Roman" w:eastAsia="Times New Roman" w:hAnsi="Times New Roman" w:cs="Times New Roman"/>
                <w:sz w:val="26"/>
                <w:szCs w:val="26"/>
              </w:rPr>
            </w:pPr>
          </w:p>
        </w:tc>
        <w:tc>
          <w:tcPr>
            <w:tcW w:w="2394" w:type="dxa"/>
            <w:shd w:val="clear" w:color="auto" w:fill="auto"/>
            <w:vAlign w:val="center"/>
          </w:tcPr>
          <w:p w14:paraId="5D22AF47" w14:textId="77777777" w:rsidR="00BC121B" w:rsidRDefault="00000000">
            <w:pPr>
              <w:spacing w:before="120" w:after="12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Ăn trưa</w:t>
            </w:r>
          </w:p>
        </w:tc>
        <w:tc>
          <w:tcPr>
            <w:tcW w:w="2394" w:type="dxa"/>
            <w:shd w:val="clear" w:color="auto" w:fill="auto"/>
            <w:vAlign w:val="center"/>
          </w:tcPr>
          <w:p w14:paraId="16AB2311" w14:textId="77777777" w:rsidR="00BC121B" w:rsidRDefault="00000000">
            <w:pPr>
              <w:spacing w:before="120" w:after="12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Điện thoại</w:t>
            </w:r>
          </w:p>
        </w:tc>
        <w:tc>
          <w:tcPr>
            <w:tcW w:w="2394" w:type="dxa"/>
            <w:shd w:val="clear" w:color="auto" w:fill="auto"/>
            <w:vAlign w:val="center"/>
          </w:tcPr>
          <w:p w14:paraId="3E6D08B6" w14:textId="77777777" w:rsidR="00BC121B" w:rsidRDefault="00000000">
            <w:pPr>
              <w:spacing w:before="120" w:after="12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Xăng xe</w:t>
            </w:r>
          </w:p>
        </w:tc>
      </w:tr>
      <w:tr w:rsidR="00BC121B" w14:paraId="6AC35442" w14:textId="77777777">
        <w:tc>
          <w:tcPr>
            <w:tcW w:w="2394" w:type="dxa"/>
            <w:vAlign w:val="center"/>
          </w:tcPr>
          <w:p w14:paraId="655E30A5"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Giám đốc</w:t>
            </w:r>
          </w:p>
        </w:tc>
        <w:tc>
          <w:tcPr>
            <w:tcW w:w="2394" w:type="dxa"/>
            <w:vAlign w:val="center"/>
          </w:tcPr>
          <w:p w14:paraId="697D05E0"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đồng</w:t>
            </w:r>
          </w:p>
        </w:tc>
        <w:tc>
          <w:tcPr>
            <w:tcW w:w="2394" w:type="dxa"/>
            <w:vAlign w:val="center"/>
          </w:tcPr>
          <w:p w14:paraId="7C575DB4"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c>
          <w:tcPr>
            <w:tcW w:w="2394" w:type="dxa"/>
            <w:vAlign w:val="center"/>
          </w:tcPr>
          <w:p w14:paraId="3EB2C1D8"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r>
      <w:tr w:rsidR="00BC121B" w14:paraId="3BF24A74" w14:textId="77777777">
        <w:tc>
          <w:tcPr>
            <w:tcW w:w="2394" w:type="dxa"/>
            <w:vAlign w:val="center"/>
          </w:tcPr>
          <w:p w14:paraId="62844B2E"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Phó giám đốc</w:t>
            </w:r>
          </w:p>
        </w:tc>
        <w:tc>
          <w:tcPr>
            <w:tcW w:w="2394" w:type="dxa"/>
            <w:vAlign w:val="center"/>
          </w:tcPr>
          <w:p w14:paraId="08451070"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c>
          <w:tcPr>
            <w:tcW w:w="2394" w:type="dxa"/>
            <w:vAlign w:val="center"/>
          </w:tcPr>
          <w:p w14:paraId="5C943B4E"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c>
          <w:tcPr>
            <w:tcW w:w="2394" w:type="dxa"/>
            <w:vAlign w:val="center"/>
          </w:tcPr>
          <w:p w14:paraId="3DB3F607"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r>
      <w:tr w:rsidR="00BC121B" w14:paraId="0BD46728" w14:textId="77777777">
        <w:tc>
          <w:tcPr>
            <w:tcW w:w="2394" w:type="dxa"/>
            <w:vAlign w:val="center"/>
          </w:tcPr>
          <w:p w14:paraId="591F0ACC"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Kế toán trưởng</w:t>
            </w:r>
          </w:p>
        </w:tc>
        <w:tc>
          <w:tcPr>
            <w:tcW w:w="2394" w:type="dxa"/>
            <w:vAlign w:val="center"/>
          </w:tcPr>
          <w:p w14:paraId="16EE18F7"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c>
          <w:tcPr>
            <w:tcW w:w="2394" w:type="dxa"/>
            <w:vAlign w:val="center"/>
          </w:tcPr>
          <w:p w14:paraId="474081F0"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c>
          <w:tcPr>
            <w:tcW w:w="2394" w:type="dxa"/>
            <w:vAlign w:val="center"/>
          </w:tcPr>
          <w:p w14:paraId="10C5B599"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r>
      <w:tr w:rsidR="00BC121B" w14:paraId="679FF06B" w14:textId="77777777">
        <w:tc>
          <w:tcPr>
            <w:tcW w:w="2394" w:type="dxa"/>
            <w:vAlign w:val="center"/>
          </w:tcPr>
          <w:p w14:paraId="6E862253"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Trưởng phòng kinh doanh</w:t>
            </w:r>
          </w:p>
        </w:tc>
        <w:tc>
          <w:tcPr>
            <w:tcW w:w="2394" w:type="dxa"/>
            <w:vAlign w:val="center"/>
          </w:tcPr>
          <w:p w14:paraId="2ADFBE38"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c>
          <w:tcPr>
            <w:tcW w:w="2394" w:type="dxa"/>
            <w:vAlign w:val="center"/>
          </w:tcPr>
          <w:p w14:paraId="64912BC1"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c>
          <w:tcPr>
            <w:tcW w:w="2394" w:type="dxa"/>
            <w:vAlign w:val="center"/>
          </w:tcPr>
          <w:p w14:paraId="30487AE8"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r>
      <w:tr w:rsidR="00BC121B" w14:paraId="64B57B38" w14:textId="77777777">
        <w:tc>
          <w:tcPr>
            <w:tcW w:w="2394" w:type="dxa"/>
            <w:vAlign w:val="center"/>
          </w:tcPr>
          <w:p w14:paraId="7DD7266A"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lastRenderedPageBreak/>
              <w:t>Nhân viên kế toán</w:t>
            </w:r>
          </w:p>
        </w:tc>
        <w:tc>
          <w:tcPr>
            <w:tcW w:w="2394" w:type="dxa"/>
            <w:vAlign w:val="center"/>
          </w:tcPr>
          <w:p w14:paraId="41E99FC7"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c>
          <w:tcPr>
            <w:tcW w:w="2394" w:type="dxa"/>
            <w:vAlign w:val="center"/>
          </w:tcPr>
          <w:p w14:paraId="3AA36518"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c>
          <w:tcPr>
            <w:tcW w:w="2394" w:type="dxa"/>
            <w:vAlign w:val="center"/>
          </w:tcPr>
          <w:p w14:paraId="296A0E5B"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r>
      <w:tr w:rsidR="00BC121B" w14:paraId="516F4593" w14:textId="77777777">
        <w:tc>
          <w:tcPr>
            <w:tcW w:w="2394" w:type="dxa"/>
            <w:vAlign w:val="center"/>
          </w:tcPr>
          <w:p w14:paraId="2144FC18"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Nhân viên kinh doan</w:t>
            </w:r>
          </w:p>
        </w:tc>
        <w:tc>
          <w:tcPr>
            <w:tcW w:w="2394" w:type="dxa"/>
            <w:vAlign w:val="center"/>
          </w:tcPr>
          <w:p w14:paraId="6E87FC02"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c>
          <w:tcPr>
            <w:tcW w:w="2394" w:type="dxa"/>
            <w:vAlign w:val="center"/>
          </w:tcPr>
          <w:p w14:paraId="71DBCA04"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c>
          <w:tcPr>
            <w:tcW w:w="2394" w:type="dxa"/>
            <w:vAlign w:val="center"/>
          </w:tcPr>
          <w:p w14:paraId="17E1EDDF"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r>
      <w:tr w:rsidR="00BC121B" w14:paraId="0D214224" w14:textId="77777777">
        <w:tc>
          <w:tcPr>
            <w:tcW w:w="2394" w:type="dxa"/>
            <w:vAlign w:val="center"/>
          </w:tcPr>
          <w:p w14:paraId="34CCEFC5"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Nhân viên bán hàng</w:t>
            </w:r>
          </w:p>
        </w:tc>
        <w:tc>
          <w:tcPr>
            <w:tcW w:w="2394" w:type="dxa"/>
            <w:vAlign w:val="center"/>
          </w:tcPr>
          <w:p w14:paraId="35172A77"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c>
          <w:tcPr>
            <w:tcW w:w="2394" w:type="dxa"/>
            <w:vAlign w:val="center"/>
          </w:tcPr>
          <w:p w14:paraId="54C4DF29"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c>
          <w:tcPr>
            <w:tcW w:w="2394" w:type="dxa"/>
            <w:vAlign w:val="center"/>
          </w:tcPr>
          <w:p w14:paraId="1FB2101F"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r>
      <w:tr w:rsidR="00BC121B" w14:paraId="6BDA1142" w14:textId="77777777">
        <w:tc>
          <w:tcPr>
            <w:tcW w:w="2394" w:type="dxa"/>
            <w:vAlign w:val="center"/>
          </w:tcPr>
          <w:p w14:paraId="4FF3207D"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Thủ quỹ</w:t>
            </w:r>
          </w:p>
        </w:tc>
        <w:tc>
          <w:tcPr>
            <w:tcW w:w="2394" w:type="dxa"/>
            <w:vAlign w:val="center"/>
          </w:tcPr>
          <w:p w14:paraId="3D324B34"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c>
          <w:tcPr>
            <w:tcW w:w="2394" w:type="dxa"/>
            <w:vAlign w:val="center"/>
          </w:tcPr>
          <w:p w14:paraId="4D7BE407"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c>
          <w:tcPr>
            <w:tcW w:w="2394" w:type="dxa"/>
            <w:vAlign w:val="center"/>
          </w:tcPr>
          <w:p w14:paraId="24E7CE17"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r>
      <w:tr w:rsidR="00BC121B" w14:paraId="6D1F4483" w14:textId="77777777">
        <w:tc>
          <w:tcPr>
            <w:tcW w:w="2394" w:type="dxa"/>
            <w:vAlign w:val="center"/>
          </w:tcPr>
          <w:p w14:paraId="27D50711" w14:textId="77777777" w:rsidR="00BC121B" w:rsidRDefault="00000000">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Thủ kho</w:t>
            </w:r>
          </w:p>
        </w:tc>
        <w:tc>
          <w:tcPr>
            <w:tcW w:w="2394" w:type="dxa"/>
            <w:vAlign w:val="center"/>
          </w:tcPr>
          <w:p w14:paraId="327CD4D8"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c>
          <w:tcPr>
            <w:tcW w:w="2394" w:type="dxa"/>
            <w:vAlign w:val="center"/>
          </w:tcPr>
          <w:p w14:paraId="79FE28C0"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c>
          <w:tcPr>
            <w:tcW w:w="2394" w:type="dxa"/>
            <w:vAlign w:val="center"/>
          </w:tcPr>
          <w:p w14:paraId="266E3621" w14:textId="77777777" w:rsidR="00BC121B" w:rsidRDefault="00000000">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…đồng</w:t>
            </w:r>
          </w:p>
        </w:tc>
      </w:tr>
    </w:tbl>
    <w:p w14:paraId="63943C17"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Ghi chú:</w:t>
      </w:r>
    </w:p>
    <w:p w14:paraId="48D22AC7"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Mức hưởng trên tính cho 01 tháng làm việc đầy đủ theo ngày công hành chính.</w:t>
      </w:r>
    </w:p>
    <w:p w14:paraId="41BFE7C3"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Mức hưởng cụ thể được ghi trong Hợp đồng lao động hoặc quyết định của hội đồng thành viên cho từng cá nhân.</w:t>
      </w:r>
    </w:p>
    <w:p w14:paraId="7A2B0B03"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Đây là mức phụ cấp cao nhất mà người lao động được phân công làm việc theo các chức danh trên có thể nhận được.</w:t>
      </w:r>
    </w:p>
    <w:p w14:paraId="605276DC"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7.3 Người lao động ký hợp đồng lao động dưới 03 tháng (thời vụ, khoán, thử việc): được thỏa thuận các khoản phụ cấp cụ thể trong HĐLĐ.</w:t>
      </w:r>
    </w:p>
    <w:p w14:paraId="56A6D107"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8. Trợ cấp</w:t>
      </w:r>
    </w:p>
    <w:p w14:paraId="58ADE417"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Mức hưởng cụ thể của từng lao động được ghi chi tiết trong Hợp đồng lao động hoặc tại quyết định của hội đồng thành viên trong Công ty.</w:t>
      </w:r>
    </w:p>
    <w:p w14:paraId="22142B70"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Tất cả lao động chính thức (ngoại trừ lao động thời vụ) ký hợp đồng lao động từ 06 tháng trở lên được hưởng thêm khoản tiền hỗ trợ thuê nhà từ 1.000.000 đến 2.000.000 đồng mỗi tháng.</w:t>
      </w:r>
    </w:p>
    <w:p w14:paraId="7AD31C6F"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9. Các khoản phúc lợi khác</w:t>
      </w:r>
    </w:p>
    <w:p w14:paraId="0FF6C9BC"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9.1 Chế độ hiếu hỉ</w:t>
      </w:r>
    </w:p>
    <w:p w14:paraId="09A5EB12"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Người lao động: … đồng/người/lần.</w:t>
      </w:r>
    </w:p>
    <w:p w14:paraId="3D37C6BD"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Vợ, chồng, bố mẹ, anh, chị, em ruột: … đồng/người/lần.</w:t>
      </w:r>
    </w:p>
    <w:p w14:paraId="1FD01927"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9.2 Hàng năm: Hàng năm công ty tổ chức cho người lao động đi thăm quan, nghỉ mát, thắng cảnh, du lịch tại địa điểm của do ban lãnh đạo công ty lựa chọn.</w:t>
      </w:r>
    </w:p>
    <w:p w14:paraId="0D61B481" w14:textId="77777777" w:rsidR="00BC121B" w:rsidRDefault="00000000">
      <w:pPr>
        <w:spacing w:before="120" w:after="120" w:line="36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Chương 3</w:t>
      </w:r>
    </w:p>
    <w:p w14:paraId="78566957" w14:textId="77777777" w:rsidR="00BC121B" w:rsidRDefault="00000000">
      <w:pPr>
        <w:spacing w:before="120" w:after="120" w:line="36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TÍNH VÀ TRẢ LƯƠNG</w:t>
      </w:r>
    </w:p>
    <w:p w14:paraId="26141C74"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Điều 10.</w:t>
      </w:r>
      <w:r>
        <w:rPr>
          <w:rFonts w:ascii="Times New Roman" w:eastAsia="Times New Roman" w:hAnsi="Times New Roman" w:cs="Times New Roman"/>
          <w:sz w:val="26"/>
          <w:szCs w:val="26"/>
        </w:rPr>
        <w:t xml:space="preserve"> </w:t>
      </w:r>
      <w:r>
        <w:rPr>
          <w:rFonts w:ascii="Times New Roman" w:eastAsia="Times New Roman" w:hAnsi="Times New Roman" w:cs="Times New Roman"/>
          <w:b/>
          <w:bCs/>
          <w:sz w:val="26"/>
          <w:szCs w:val="26"/>
        </w:rPr>
        <w:t>Cơ sở tính lương</w:t>
      </w:r>
    </w:p>
    <w:p w14:paraId="6C944CB4"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Việc tính lương dựa trên cơ sở: Chính xác về số liệu, đảm bảo thời gian trả lương cho người lao động đúng quy định.</w:t>
      </w:r>
    </w:p>
    <w:p w14:paraId="104F88EF"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Cơ sở tính lương cho người lao động: Căn cứ vào thời gian làm việc tại bảng chấm công.</w:t>
      </w:r>
    </w:p>
    <w:p w14:paraId="5644EFE5"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Tiền lương tháng = (Tiền lương chính + Phụ cấp, trợ cấp nếu có) : 26 x</w:t>
      </w: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số ngày làm việc thực tế.</w:t>
      </w:r>
    </w:p>
    <w:p w14:paraId="2DB41170"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11. Hạn trả lương</w:t>
      </w:r>
    </w:p>
    <w:p w14:paraId="700DC915"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Toàn thể nhân viên Công ty được chi trả tiền lương vào ngày cuối cùng của tháng.</w:t>
      </w:r>
    </w:p>
    <w:p w14:paraId="5BE80AD6"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12. Tiền lương làm thêm giờ</w:t>
      </w:r>
    </w:p>
    <w:p w14:paraId="6FF49645"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Căn cứ theo cách tính quy đinh hiện hành của Bộ luật lao động như sau:</w:t>
      </w:r>
    </w:p>
    <w:p w14:paraId="1535CFCD"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12.1 Làm thêm vào ngày thường</w:t>
      </w:r>
    </w:p>
    <w:p w14:paraId="4C71B354"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Tiền lương làm thêm giờ = Tiền lương (theo giờ) x 150% x Lượng giờ làm thêm</w:t>
      </w:r>
    </w:p>
    <w:p w14:paraId="40F97EC6"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12.2 Làm thêm vào ngày Chủ nhật</w:t>
      </w:r>
    </w:p>
    <w:p w14:paraId="3E8142ED"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Tiền lương làm thêm giờ = Tiền lương (theo giờ) x 200% x Lượng giờ làm thêm</w:t>
      </w:r>
    </w:p>
    <w:p w14:paraId="7FF1657F"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12.3 Làm thêm vào ngày Lễ, Tết:</w:t>
      </w:r>
    </w:p>
    <w:p w14:paraId="6ACFAC73"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Tiền lương làm thêm giờ = Tiền lương (theo giờ) x 300% x Lượng giờ làm thêm</w:t>
      </w:r>
    </w:p>
    <w:p w14:paraId="3C17A699"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13. Công tác phí</w:t>
      </w:r>
    </w:p>
    <w:p w14:paraId="725F07EE"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13.1 Đi về trong ngày: … đồng/ngày</w:t>
      </w:r>
    </w:p>
    <w:p w14:paraId="42C0392F"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13.2 Đi về cách ngày:</w:t>
      </w:r>
    </w:p>
    <w:p w14:paraId="635EA680"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Cán bộ đến công tác tại nơi núi cao, hải đảo, biên giới, vùng sau hưởng phụ cấp … đồng/ngày.</w:t>
      </w:r>
    </w:p>
    <w:p w14:paraId="412661F4"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Cán bộ công tác tại thành phố lớn như thành phố Hà Nội, thành phố Hồ Chí Minh, thành phố Đà Nẵng và các tỉnh đồng bằng, trung du hưởng phụ cấp … đồng/ngày.</w:t>
      </w:r>
    </w:p>
    <w:p w14:paraId="7888A53B"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Ngoài tiền phụ cấp lưu trú trên, người lao động sẽ được thanh toán tất cả chi phí ăn ở, đi lại theo thực tế phát sinh (theo chứng từ xác nhận).</w:t>
      </w:r>
    </w:p>
    <w:p w14:paraId="2D37AF3D"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14. Ngày nghỉ được hưởng nguyên lương</w:t>
      </w:r>
    </w:p>
    <w:p w14:paraId="4C4A72BA"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14.1 Nghỉ Lễ, Tết: Theo quy định của Bộ luật lao động.</w:t>
      </w:r>
    </w:p>
    <w:p w14:paraId="5F2032EB"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14.2 Bản thân kết hôn: Nghỉ 03 ngày.</w:t>
      </w:r>
    </w:p>
    <w:p w14:paraId="714E4A0B"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14.3 Con kết hôn: Nghỉ 01 ngày.</w:t>
      </w:r>
    </w:p>
    <w:p w14:paraId="637B7EAE"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14.4 Cha mẹ chết (kể cả bên chồng, vợ) vợ hoặc chồng, con chết: Nghỉ 03 ngày.</w:t>
      </w:r>
    </w:p>
    <w:p w14:paraId="13B7CEA0"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14.5 Nghỉ phép: Người lao động xin thôi việc có đơn xin nghỉ phép mà chưa nghỉ phép năm hoặc chưa được nghỉ hết số ngày phép năm thì sẽ được thanh toán tiền những ngày chưa nghỉ này.</w:t>
      </w:r>
    </w:p>
    <w:p w14:paraId="0D7E9BCE"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Người lao động đang trong thời gian thử việc hoặc chưa ký hợp đồng lao động thì chưa hưởng các chế độ của nhà nước quy định.</w:t>
      </w:r>
    </w:p>
    <w:p w14:paraId="4D2BF2D8" w14:textId="77777777" w:rsidR="00BC121B" w:rsidRDefault="00000000">
      <w:pPr>
        <w:spacing w:before="120" w:after="120" w:line="36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Chương 4</w:t>
      </w:r>
    </w:p>
    <w:p w14:paraId="2A102D79" w14:textId="77777777" w:rsidR="00BC121B" w:rsidRDefault="00000000">
      <w:pPr>
        <w:spacing w:before="120" w:after="120" w:line="36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THỦ TỤC VÀ CHẾ ĐỘ XÉT TĂNG LƯƠNG</w:t>
      </w:r>
    </w:p>
    <w:p w14:paraId="49AD4F1A"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Điều 15. Chế độ xét tăng lương </w:t>
      </w:r>
    </w:p>
    <w:p w14:paraId="18C0719D"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Mỗi năm lãnh đạo công ty sẽ họp bàn xét tăng lương cho nhân viên một lần vào tháng 04 hàng năm.</w:t>
      </w:r>
    </w:p>
    <w:p w14:paraId="29D34D5B"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Niên hạn và đối tượng được xét tăng lương: Những nhân viên có đủ thâm niên 02 năm hưởng một mức lương (kể từ ngày xếp lương lần liền kề với ngày xét tăng lương mới) với điều kiện là hoàn thành tốt công việc được giao, không vi phạm quy định lao động.</w:t>
      </w:r>
    </w:p>
    <w:p w14:paraId="2A4B742D"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Trường hợp có vi phạm cho vào diện xét thì năm sau mới được xét nâng lương, và với điều kiện không tái phạm kỷ luật lao động.</w:t>
      </w:r>
    </w:p>
    <w:p w14:paraId="2BB4AD34"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Điều 16. Thủ tục xét nâng lương </w:t>
      </w:r>
    </w:p>
    <w:p w14:paraId="4D6568F9"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Ban lãnh đạo Công ty sẽ họp và công bố việc xét duyệt để xét duyệt. Những nhân viên chưa được xét tăng lương thì Giám đốc Công ty sẽ giải thích cho cán bộ công nhân viên yên tâm công tác.</w:t>
      </w:r>
    </w:p>
    <w:p w14:paraId="4679046E"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17. Mức nâng của mỗi bậc lương</w:t>
      </w:r>
    </w:p>
    <w:p w14:paraId="2BABBFFC"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Nâng lương từ 10 đến 20% mức lương hiện tại tùy theo hiệu quả kinh doanh của Công ty. Mức này dựa vào thang bảng lương ký với cơ quan bảo hiểm xã hội, Phòng Lao động - Thương binh và Xã hội.</w:t>
      </w:r>
    </w:p>
    <w:p w14:paraId="76F10015" w14:textId="77777777" w:rsidR="00BC121B" w:rsidRDefault="00000000">
      <w:pPr>
        <w:spacing w:before="120" w:after="120" w:line="36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Chương 5</w:t>
      </w:r>
    </w:p>
    <w:p w14:paraId="169D2828" w14:textId="77777777" w:rsidR="00BC121B" w:rsidRDefault="00000000">
      <w:pPr>
        <w:spacing w:before="120" w:after="120" w:line="36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CHẾ ĐỘ THƯỞNG</w:t>
      </w:r>
    </w:p>
    <w:p w14:paraId="261A4A32"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17. Thưởng thâm niên</w:t>
      </w:r>
    </w:p>
    <w:p w14:paraId="599D1476"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Nhân viên làm việc tại Công ty trên 03 năm sẽ có mức thưởng được ban bố vào đợt chi trả lương tháng cuối cùng trong năm.</w:t>
      </w:r>
    </w:p>
    <w:p w14:paraId="7A26EAD3"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Nhân viên kinh doanh đạt doanh thu do Ban giám đốc giao được thưởng phần trăm doanh thu hàng tháng, vượt doanh thu thì Giám đốc kinh doanh sẽ làm tờ trình về mức hưởng cho từng nhân viên trình Ban giám đốc duyệt và chuyển cho phòng Ké toán trả cùng với lương tháng.</w:t>
      </w:r>
    </w:p>
    <w:p w14:paraId="420B9970"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18. Thưởng Tết Âm lịch</w:t>
      </w:r>
    </w:p>
    <w:p w14:paraId="520A3008"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Công ty nếu kinh doanh có lãi sẽ trích lợi nhuận để thưởng tặng quà cho nhân viên, mức thưởng tùy thuộc vào lợi nhuận của từng năm.</w:t>
      </w:r>
    </w:p>
    <w:p w14:paraId="6BE194A5"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19. Thưởng ngày Quốc khánh, Tết Dương lịch, Ngày Chiến thắng, Quốc tế Lao động</w:t>
      </w:r>
    </w:p>
    <w:p w14:paraId="481073CE"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Tiền thưởng từ … đồng đến … đồng.</w:t>
      </w:r>
    </w:p>
    <w:p w14:paraId="3A377509"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Mức thưởng cụ thể của từng nhân viên sẽ được ghi trong Quyết định của hội đồng thành viên Công ty tại thời điểm thưởng.</w:t>
      </w:r>
    </w:p>
    <w:p w14:paraId="7C91B3E1" w14:textId="77777777" w:rsidR="00BC121B" w:rsidRDefault="00000000">
      <w:pPr>
        <w:spacing w:before="120" w:after="120"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20. Thưởng đạt doanh thu</w:t>
      </w:r>
    </w:p>
    <w:p w14:paraId="7CAEC83A"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Cuối mỗi năm dương lịch, phòng kinh doanh đạt doanh thu do Ban Giám đốc giao sẽ được hưởng phần trăm doanh thu tháng.</w:t>
      </w:r>
    </w:p>
    <w:p w14:paraId="58446543" w14:textId="77777777" w:rsidR="00BC121B" w:rsidRDefault="00000000">
      <w:pPr>
        <w:spacing w:before="120"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Trên đây là nội dung quy định về tiền thưởng, tiền lương, phụ cấp, trợ cấp áp dụng cho cán bộ công nhân viên tại Công ty. Giao cho trưởng phòng hành chính nhân sự và Kế toán trưởng Công ty, triển khai thực hiện.</w:t>
      </w:r>
    </w:p>
    <w:tbl>
      <w:tblPr>
        <w:tblStyle w:val="a2"/>
        <w:tblW w:w="9576" w:type="dxa"/>
        <w:tblInd w:w="-115" w:type="dxa"/>
        <w:tblLayout w:type="fixed"/>
        <w:tblLook w:val="0400" w:firstRow="0" w:lastRow="0" w:firstColumn="0" w:lastColumn="0" w:noHBand="0" w:noVBand="1"/>
      </w:tblPr>
      <w:tblGrid>
        <w:gridCol w:w="4788"/>
        <w:gridCol w:w="4788"/>
      </w:tblGrid>
      <w:tr w:rsidR="00BC121B" w14:paraId="70453E33" w14:textId="77777777">
        <w:tc>
          <w:tcPr>
            <w:tcW w:w="4788" w:type="dxa"/>
          </w:tcPr>
          <w:p w14:paraId="52ED8F7C" w14:textId="77777777" w:rsidR="00BC121B" w:rsidRDefault="00BC121B">
            <w:pPr>
              <w:spacing w:before="120" w:after="120" w:line="360" w:lineRule="auto"/>
              <w:rPr>
                <w:rFonts w:ascii="Times New Roman" w:eastAsia="Times New Roman" w:hAnsi="Times New Roman" w:cs="Times New Roman"/>
                <w:sz w:val="26"/>
                <w:szCs w:val="26"/>
              </w:rPr>
            </w:pPr>
          </w:p>
        </w:tc>
        <w:tc>
          <w:tcPr>
            <w:tcW w:w="4788" w:type="dxa"/>
          </w:tcPr>
          <w:p w14:paraId="7EA66135" w14:textId="77777777" w:rsidR="00BC121B" w:rsidRDefault="00000000">
            <w:pPr>
              <w:spacing w:before="120" w:after="120" w:line="36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T.M Ban Giám đốc</w:t>
            </w:r>
          </w:p>
          <w:p w14:paraId="4FEC344D" w14:textId="77777777" w:rsidR="00BC121B" w:rsidRDefault="00000000">
            <w:pPr>
              <w:spacing w:before="120" w:after="120" w:line="36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Giám đốc (ký tên và đóng dấu)</w:t>
            </w:r>
          </w:p>
          <w:p w14:paraId="339F462A" w14:textId="77777777" w:rsidR="00BC121B" w:rsidRDefault="00BC121B">
            <w:pPr>
              <w:spacing w:before="120" w:after="120" w:line="360" w:lineRule="auto"/>
              <w:jc w:val="center"/>
              <w:rPr>
                <w:rFonts w:ascii="Times New Roman" w:eastAsia="Times New Roman" w:hAnsi="Times New Roman" w:cs="Times New Roman"/>
                <w:sz w:val="26"/>
                <w:szCs w:val="26"/>
              </w:rPr>
            </w:pPr>
          </w:p>
          <w:p w14:paraId="00538B15" w14:textId="77777777" w:rsidR="00BC121B" w:rsidRDefault="00BC121B">
            <w:pPr>
              <w:spacing w:before="120" w:after="120" w:line="360" w:lineRule="auto"/>
              <w:jc w:val="center"/>
              <w:rPr>
                <w:rFonts w:ascii="Times New Roman" w:eastAsia="Times New Roman" w:hAnsi="Times New Roman" w:cs="Times New Roman"/>
                <w:sz w:val="26"/>
                <w:szCs w:val="26"/>
              </w:rPr>
            </w:pPr>
          </w:p>
          <w:p w14:paraId="200B6598" w14:textId="77777777" w:rsidR="00BC121B" w:rsidRDefault="00BC121B">
            <w:pPr>
              <w:spacing w:before="120" w:after="120" w:line="360" w:lineRule="auto"/>
              <w:jc w:val="center"/>
              <w:rPr>
                <w:rFonts w:ascii="Times New Roman" w:eastAsia="Times New Roman" w:hAnsi="Times New Roman" w:cs="Times New Roman"/>
                <w:b/>
                <w:bCs/>
                <w:color w:val="FF0000"/>
                <w:sz w:val="26"/>
                <w:szCs w:val="26"/>
              </w:rPr>
            </w:pPr>
          </w:p>
        </w:tc>
      </w:tr>
    </w:tbl>
    <w:p w14:paraId="2B702BC8" w14:textId="77777777" w:rsidR="00BC121B" w:rsidRDefault="00BC121B"/>
    <w:sectPr w:rsidR="00BC121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CA99CE9D-7288-4A62-89A5-4568CF3E886C}"/>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2" w:fontKey="{33AC5D58-79C0-4644-AAC6-A11918D3205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13680F"/>
    <w:multiLevelType w:val="multilevel"/>
    <w:tmpl w:val="8F2609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BC53690"/>
    <w:multiLevelType w:val="multilevel"/>
    <w:tmpl w:val="DC9CE508"/>
    <w:lvl w:ilvl="0">
      <w:start w:val="2"/>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619192241">
    <w:abstractNumId w:val="0"/>
  </w:num>
  <w:num w:numId="2" w16cid:durableId="779837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oNotDisplayPageBoundaries/>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21B"/>
    <w:rsid w:val="00BC121B"/>
    <w:rsid w:val="00F30F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3F5FB"/>
  <w15:docId w15:val="{CDB0B790-8A11-4739-8E0A-D5E94397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1408</Words>
  <Characters>8030</Characters>
  <Application>Microsoft Office Word</Application>
  <DocSecurity>0</DocSecurity>
  <Lines>66</Lines>
  <Paragraphs>18</Paragraphs>
  <ScaleCrop>false</ScaleCrop>
  <Company/>
  <LinksUpToDate>false</LinksUpToDate>
  <CharactersWithSpaces>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Phòng Kinh Doanh</cp:lastModifiedBy>
  <cp:revision>2</cp:revision>
  <dcterms:created xsi:type="dcterms:W3CDTF">2026-05-23T08:07:00Z</dcterms:created>
  <dcterms:modified xsi:type="dcterms:W3CDTF">2026-05-23T08:10:00Z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167fd359-9fe7-4879-a99b-2f42246bdfe7</vt:lpwstr>
  </property>
</Properties>
</file>