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887ADE" w14:textId="77777777" w:rsidR="00D51320" w:rsidRDefault="00D51320">
      <w:pPr>
        <w:widowControl w:val="0"/>
      </w:pPr>
    </w:p>
    <w:tbl>
      <w:tblPr>
        <w:tblStyle w:val="a"/>
        <w:tblW w:w="9606" w:type="dxa"/>
        <w:tblInd w:w="-115" w:type="dxa"/>
        <w:tblLayout w:type="fixed"/>
        <w:tblLook w:val="0400" w:firstRow="0" w:lastRow="0" w:firstColumn="0" w:lastColumn="0" w:noHBand="0" w:noVBand="1"/>
      </w:tblPr>
      <w:tblGrid>
        <w:gridCol w:w="3936"/>
        <w:gridCol w:w="5670"/>
      </w:tblGrid>
      <w:tr w:rsidR="00D51320" w14:paraId="30D13F24" w14:textId="77777777">
        <w:tc>
          <w:tcPr>
            <w:tcW w:w="3936" w:type="dxa"/>
          </w:tcPr>
          <w:p w14:paraId="63DE7368" w14:textId="77777777" w:rsidR="00D51320" w:rsidRDefault="00000000">
            <w:pPr>
              <w:spacing w:after="200"/>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CÔNG TY CỔ PHẦN……</w:t>
            </w:r>
          </w:p>
          <w:p w14:paraId="67FE5809" w14:textId="11F6D6EB" w:rsidR="00D51320" w:rsidRDefault="00000000">
            <w:pPr>
              <w:spacing w:after="200"/>
              <w:rPr>
                <w:rFonts w:ascii="Times New Roman" w:eastAsia="Times New Roman" w:hAnsi="Times New Roman" w:cs="Times New Roman"/>
                <w:b/>
                <w:bCs/>
                <w:sz w:val="26"/>
                <w:szCs w:val="26"/>
              </w:rPr>
            </w:pPr>
            <w:r>
              <w:rPr>
                <w:rFonts w:ascii="Times New Roman" w:eastAsia="Times New Roman" w:hAnsi="Times New Roman" w:cs="Times New Roman"/>
              </w:rPr>
              <w:t xml:space="preserve">      Số: 0</w:t>
            </w:r>
            <w:r w:rsidR="005A26BA">
              <w:rPr>
                <w:rFonts w:ascii="Times New Roman" w:eastAsia="Times New Roman" w:hAnsi="Times New Roman" w:cs="Times New Roman"/>
              </w:rPr>
              <w:t>5</w:t>
            </w:r>
            <w:r>
              <w:rPr>
                <w:rFonts w:ascii="Times New Roman" w:eastAsia="Times New Roman" w:hAnsi="Times New Roman" w:cs="Times New Roman"/>
              </w:rPr>
              <w:t>/QC–LĐ/202</w:t>
            </w:r>
            <w:r w:rsidR="005A26BA">
              <w:rPr>
                <w:rFonts w:ascii="Times New Roman" w:eastAsia="Times New Roman" w:hAnsi="Times New Roman" w:cs="Times New Roman"/>
              </w:rPr>
              <w:t>6</w:t>
            </w:r>
          </w:p>
        </w:tc>
        <w:tc>
          <w:tcPr>
            <w:tcW w:w="5670" w:type="dxa"/>
          </w:tcPr>
          <w:p w14:paraId="238449C2" w14:textId="77777777" w:rsidR="00D51320" w:rsidRDefault="00000000">
            <w:pPr>
              <w:spacing w:after="200"/>
              <w:jc w:val="center"/>
              <w:rPr>
                <w:rFonts w:ascii="Times New Roman" w:eastAsia="Times New Roman" w:hAnsi="Times New Roman" w:cs="Times New Roman"/>
                <w:b/>
                <w:bCs/>
                <w:i/>
                <w:iCs/>
                <w:sz w:val="26"/>
                <w:szCs w:val="26"/>
              </w:rPr>
            </w:pPr>
            <w:r>
              <w:rPr>
                <w:rFonts w:ascii="Times New Roman" w:eastAsia="Times New Roman" w:hAnsi="Times New Roman" w:cs="Times New Roman"/>
                <w:b/>
                <w:bCs/>
                <w:sz w:val="26"/>
                <w:szCs w:val="26"/>
              </w:rPr>
              <w:t xml:space="preserve">CỘNG HÒA XÃ HỘI CHỦ NGHĨA VIỆT NAM </w:t>
            </w:r>
            <w:r>
              <w:rPr>
                <w:rFonts w:ascii="Times New Roman" w:eastAsia="Times New Roman" w:hAnsi="Times New Roman" w:cs="Times New Roman"/>
                <w:b/>
                <w:bCs/>
                <w:sz w:val="26"/>
                <w:szCs w:val="26"/>
                <w:u w:val="single"/>
              </w:rPr>
              <w:t>Độc lập - Tự do - Hạnh phúc</w:t>
            </w:r>
          </w:p>
          <w:p w14:paraId="250E4DF4" w14:textId="53C60904" w:rsidR="00D51320" w:rsidRDefault="00000000">
            <w:pPr>
              <w:spacing w:after="200"/>
              <w:jc w:val="right"/>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 xml:space="preserve">………, ngày ….tháng…. năm </w:t>
            </w:r>
            <w:r w:rsidR="005A26BA">
              <w:rPr>
                <w:rFonts w:ascii="Times New Roman" w:eastAsia="Times New Roman" w:hAnsi="Times New Roman" w:cs="Times New Roman"/>
                <w:i/>
                <w:iCs/>
                <w:sz w:val="26"/>
                <w:szCs w:val="26"/>
              </w:rPr>
              <w:t>2026</w:t>
            </w:r>
          </w:p>
        </w:tc>
      </w:tr>
    </w:tbl>
    <w:p w14:paraId="66701614" w14:textId="77777777" w:rsidR="00D51320" w:rsidRPr="005A26BA" w:rsidRDefault="00000000">
      <w:pPr>
        <w:spacing w:after="200"/>
        <w:jc w:val="center"/>
        <w:rPr>
          <w:rFonts w:ascii="Times New Roman" w:eastAsia="Times New Roman" w:hAnsi="Times New Roman" w:cs="Times New Roman"/>
          <w:b/>
          <w:bCs/>
          <w:color w:val="006600"/>
          <w:sz w:val="26"/>
          <w:szCs w:val="26"/>
        </w:rPr>
      </w:pPr>
      <w:r w:rsidRPr="005A26BA">
        <w:rPr>
          <w:rFonts w:ascii="Times New Roman" w:eastAsia="Times New Roman" w:hAnsi="Times New Roman" w:cs="Times New Roman"/>
          <w:b/>
          <w:bCs/>
          <w:color w:val="006600"/>
          <w:sz w:val="26"/>
          <w:szCs w:val="26"/>
        </w:rPr>
        <w:t xml:space="preserve">QUY CHẾ </w:t>
      </w:r>
    </w:p>
    <w:p w14:paraId="750BDA79" w14:textId="77777777" w:rsidR="00D51320" w:rsidRPr="005A26BA" w:rsidRDefault="00000000">
      <w:pPr>
        <w:spacing w:after="200"/>
        <w:jc w:val="center"/>
        <w:rPr>
          <w:rFonts w:ascii="Times New Roman" w:eastAsia="Times New Roman" w:hAnsi="Times New Roman" w:cs="Times New Roman"/>
          <w:b/>
          <w:bCs/>
          <w:color w:val="006600"/>
          <w:sz w:val="26"/>
          <w:szCs w:val="26"/>
        </w:rPr>
      </w:pPr>
      <w:bookmarkStart w:id="0" w:name="_gjdgxs" w:colFirst="0" w:colLast="0"/>
      <w:bookmarkEnd w:id="0"/>
      <w:r w:rsidRPr="005A26BA">
        <w:rPr>
          <w:rFonts w:ascii="Times New Roman" w:eastAsia="Times New Roman" w:hAnsi="Times New Roman" w:cs="Times New Roman"/>
          <w:b/>
          <w:bCs/>
          <w:color w:val="006600"/>
          <w:sz w:val="26"/>
          <w:szCs w:val="26"/>
        </w:rPr>
        <w:t>TIỀN LƯƠNG, TIỀN THƯỞNG THEO KPI</w:t>
      </w:r>
    </w:p>
    <w:p w14:paraId="62C952A9" w14:textId="77777777" w:rsidR="00D51320" w:rsidRDefault="00000000">
      <w:pPr>
        <w:spacing w:after="200"/>
        <w:jc w:val="center"/>
        <w:rPr>
          <w:rFonts w:ascii="Times New Roman" w:eastAsia="Times New Roman" w:hAnsi="Times New Roman" w:cs="Times New Roman"/>
          <w:sz w:val="26"/>
          <w:szCs w:val="26"/>
        </w:rPr>
      </w:pPr>
      <w:bookmarkStart w:id="1" w:name="_e4i452mupj8e" w:colFirst="0" w:colLast="0"/>
      <w:bookmarkEnd w:id="1"/>
      <w:r>
        <w:rPr>
          <w:rFonts w:ascii="Times New Roman" w:eastAsia="Times New Roman" w:hAnsi="Times New Roman" w:cs="Times New Roman"/>
          <w:sz w:val="26"/>
          <w:szCs w:val="26"/>
        </w:rPr>
        <w:t>(áp dụng cho toàn công ty)</w:t>
      </w:r>
    </w:p>
    <w:p w14:paraId="6074FD3A" w14:textId="77777777" w:rsidR="00D51320" w:rsidRDefault="00D51320">
      <w:pPr>
        <w:rPr>
          <w:rFonts w:ascii="Times New Roman" w:eastAsia="Times New Roman" w:hAnsi="Times New Roman" w:cs="Times New Roman"/>
          <w:b/>
          <w:bCs/>
          <w:sz w:val="24"/>
          <w:szCs w:val="24"/>
        </w:rPr>
      </w:pPr>
      <w:bookmarkStart w:id="2" w:name="_39hl5n373ga2" w:colFirst="0" w:colLast="0"/>
      <w:bookmarkEnd w:id="2"/>
    </w:p>
    <w:p w14:paraId="03238020" w14:textId="77777777" w:rsidR="00D51320"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 MỤC ĐÍCH</w:t>
      </w:r>
    </w:p>
    <w:p w14:paraId="03F70E3E"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Quy chế này được ban hành nhằm quy định rõ cơ chế trả lương, thưởng theo KPI (Key Performance Indicator) cho toàn bộ cán bộ nhân viên trong công ty, nhằm đảm bảo tính minh bạch, công bằng và gắn liền thu nhập với kết quả làm việc thực tế.</w:t>
      </w:r>
    </w:p>
    <w:p w14:paraId="37E9FFFF" w14:textId="77777777" w:rsidR="00D51320" w:rsidRDefault="00D51320">
      <w:pPr>
        <w:rPr>
          <w:rFonts w:ascii="Times New Roman" w:eastAsia="Times New Roman" w:hAnsi="Times New Roman" w:cs="Times New Roman"/>
          <w:sz w:val="24"/>
          <w:szCs w:val="24"/>
        </w:rPr>
      </w:pPr>
      <w:bookmarkStart w:id="3" w:name="_jwhdzn219be6" w:colFirst="0" w:colLast="0"/>
      <w:bookmarkEnd w:id="3"/>
    </w:p>
    <w:p w14:paraId="270EAF33" w14:textId="77777777" w:rsidR="00D51320"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 CĂN CỨ PHÁP LÝ</w:t>
      </w:r>
    </w:p>
    <w:p w14:paraId="7963EC59" w14:textId="01E760A5"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Căn cứ Bộ luật Lao động số 45/2019/QH14 được Quốc hội nước Cộng Hòa Xã Hội Chủ Nghĩa Việt Nam thông qua ngày 20/11/2019, có hiệu lực thi hành từ ngày 01/01/2021.</w:t>
      </w:r>
      <w:r>
        <w:rPr>
          <w:rFonts w:ascii="Times New Roman" w:eastAsia="Times New Roman" w:hAnsi="Times New Roman" w:cs="Times New Roman"/>
          <w:sz w:val="24"/>
          <w:szCs w:val="24"/>
        </w:rPr>
        <w:br/>
        <w:t>- Căn cứ Nghị định số 145/2020/NĐ-CP ngày 14/12/2020 của Chính phủ quy định chi tiết và hướng dẫn thi hành một số điều của Bộ luật Lao động.</w:t>
      </w:r>
      <w:r>
        <w:rPr>
          <w:rFonts w:ascii="Times New Roman" w:eastAsia="Times New Roman" w:hAnsi="Times New Roman" w:cs="Times New Roman"/>
          <w:sz w:val="24"/>
          <w:szCs w:val="24"/>
        </w:rPr>
        <w:br/>
        <w:t xml:space="preserve">- Căn cứ </w:t>
      </w:r>
      <w:r w:rsidR="005A26BA" w:rsidRPr="005A26BA">
        <w:rPr>
          <w:rFonts w:ascii="Times New Roman" w:eastAsia="Times New Roman" w:hAnsi="Times New Roman" w:cs="Times New Roman"/>
          <w:sz w:val="24"/>
          <w:szCs w:val="24"/>
        </w:rPr>
        <w:t>Nghị định 293/2025/NĐ-CP</w:t>
      </w:r>
      <w:r w:rsidR="005A26BA">
        <w:rPr>
          <w:rFonts w:ascii="Times New Roman" w:eastAsia="Times New Roman" w:hAnsi="Times New Roman" w:cs="Times New Roman"/>
          <w:sz w:val="24"/>
          <w:szCs w:val="24"/>
        </w:rPr>
        <w:t>, có hiệu lực từ ngày 1/1/2026 của Chính phủ,</w:t>
      </w:r>
      <w:r>
        <w:rPr>
          <w:rFonts w:ascii="Times New Roman" w:eastAsia="Times New Roman" w:hAnsi="Times New Roman" w:cs="Times New Roman"/>
          <w:sz w:val="24"/>
          <w:szCs w:val="24"/>
        </w:rPr>
        <w:t xml:space="preserve"> quy định mức lương tối thiểu vùng.</w:t>
      </w:r>
      <w:r>
        <w:rPr>
          <w:rFonts w:ascii="Times New Roman" w:eastAsia="Times New Roman" w:hAnsi="Times New Roman" w:cs="Times New Roman"/>
          <w:sz w:val="24"/>
          <w:szCs w:val="24"/>
        </w:rPr>
        <w:br/>
        <w:t xml:space="preserve">- Căn cứ </w:t>
      </w:r>
      <w:r w:rsidR="005A26BA" w:rsidRPr="005A26BA">
        <w:rPr>
          <w:rFonts w:ascii="Times New Roman" w:eastAsia="Times New Roman" w:hAnsi="Times New Roman" w:cs="Times New Roman"/>
          <w:sz w:val="24"/>
          <w:szCs w:val="24"/>
        </w:rPr>
        <w:t>Luật Bảo hiểm xã hội số 41/2024/QH15 ban hành ngày 29/6/2024</w:t>
      </w:r>
      <w:r w:rsidR="005A26BA">
        <w:rPr>
          <w:rFonts w:ascii="Times New Roman" w:eastAsia="Times New Roman" w:hAnsi="Times New Roman" w:cs="Times New Roman"/>
          <w:sz w:val="24"/>
          <w:szCs w:val="24"/>
        </w:rPr>
        <w:t>.</w:t>
      </w:r>
      <w:r>
        <w:rPr>
          <w:rFonts w:ascii="Times New Roman" w:eastAsia="Times New Roman" w:hAnsi="Times New Roman" w:cs="Times New Roman"/>
          <w:sz w:val="24"/>
          <w:szCs w:val="24"/>
        </w:rPr>
        <w:br/>
        <w:t>- Căn cứ Thông tư số 06/2021/TT-BLĐTBXH hướng dẫn chi tiết về tiền lương và các khoản bổ sung khác.</w:t>
      </w:r>
      <w:r>
        <w:rPr>
          <w:rFonts w:ascii="Times New Roman" w:eastAsia="Times New Roman" w:hAnsi="Times New Roman" w:cs="Times New Roman"/>
          <w:sz w:val="24"/>
          <w:szCs w:val="24"/>
        </w:rPr>
        <w:br/>
        <w:t>- Căn cứ Điều lệ tổ chức và hoạt động của Công ty ..................................................</w:t>
      </w:r>
    </w:p>
    <w:p w14:paraId="096F14B6" w14:textId="77777777" w:rsidR="00D51320" w:rsidRDefault="00D51320">
      <w:pPr>
        <w:rPr>
          <w:rFonts w:ascii="Times New Roman" w:eastAsia="Times New Roman" w:hAnsi="Times New Roman" w:cs="Times New Roman"/>
          <w:sz w:val="24"/>
          <w:szCs w:val="24"/>
        </w:rPr>
      </w:pPr>
      <w:bookmarkStart w:id="4" w:name="_fnd73fxk1z6q" w:colFirst="0" w:colLast="0"/>
      <w:bookmarkEnd w:id="4"/>
    </w:p>
    <w:p w14:paraId="057A3FB2" w14:textId="77777777" w:rsidR="00D51320"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III. PHẠM VI VÀ ĐỐI TƯỢNG ÁP DỤNG</w:t>
      </w:r>
    </w:p>
    <w:p w14:paraId="3DEA3E45"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Áp dụng cho toàn thể cán bộ, nhân viên, người lao động làm việc theo hợp đồng lao động tại công ty, bao gồm khối Văn phòng, Kinh doanh, Kỹ thuật, Sản xuất và các bộ phận khác có hệ thống KPI được phê duyệt.</w:t>
      </w:r>
    </w:p>
    <w:p w14:paraId="5E63B628" w14:textId="77777777" w:rsidR="00D51320" w:rsidRDefault="00D51320">
      <w:pPr>
        <w:rPr>
          <w:rFonts w:ascii="Times New Roman" w:eastAsia="Times New Roman" w:hAnsi="Times New Roman" w:cs="Times New Roman"/>
          <w:sz w:val="24"/>
          <w:szCs w:val="24"/>
        </w:rPr>
      </w:pPr>
      <w:bookmarkStart w:id="5" w:name="_v2j8rdllf9he" w:colFirst="0" w:colLast="0"/>
      <w:bookmarkEnd w:id="5"/>
    </w:p>
    <w:p w14:paraId="324FF53F" w14:textId="77777777" w:rsidR="00D51320"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IV. CẤU TRÚC THU NHẬP</w:t>
      </w:r>
    </w:p>
    <w:p w14:paraId="40804E20"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Tổng thu nhập hàng tháng của người lao động bao gồm các thành phần sau:</w:t>
      </w:r>
      <w:r>
        <w:rPr>
          <w:rFonts w:ascii="Times New Roman" w:eastAsia="Times New Roman" w:hAnsi="Times New Roman" w:cs="Times New Roman"/>
          <w:sz w:val="24"/>
          <w:szCs w:val="24"/>
        </w:rPr>
        <w:br/>
        <w:t>- Lương cơ bản: đảm bảo không thấp hơn mức lương tối thiểu vùng theo Nghị định 74/2024/NĐ-CP.</w:t>
      </w:r>
      <w:r>
        <w:rPr>
          <w:rFonts w:ascii="Times New Roman" w:eastAsia="Times New Roman" w:hAnsi="Times New Roman" w:cs="Times New Roman"/>
          <w:sz w:val="24"/>
          <w:szCs w:val="24"/>
        </w:rPr>
        <w:br/>
        <w:t>- Thưởng KPI: tính theo mức độ hoàn thành chỉ tiêu công việc.</w:t>
      </w:r>
      <w:r>
        <w:rPr>
          <w:rFonts w:ascii="Times New Roman" w:eastAsia="Times New Roman" w:hAnsi="Times New Roman" w:cs="Times New Roman"/>
          <w:sz w:val="24"/>
          <w:szCs w:val="24"/>
        </w:rPr>
        <w:br/>
        <w:t>- Phụ cấp cố định: gồm ăn trưa, xăng xe, điện thoại, trách nhiệm (nếu có).</w:t>
      </w:r>
      <w:r>
        <w:rPr>
          <w:rFonts w:ascii="Times New Roman" w:eastAsia="Times New Roman" w:hAnsi="Times New Roman" w:cs="Times New Roman"/>
          <w:sz w:val="24"/>
          <w:szCs w:val="24"/>
        </w:rPr>
        <w:br/>
        <w:t>- Các khoản thưởng khác (thưởng nóng, thưởng sáng kiến, thưởng quý/năm) được xét riêng.</w:t>
      </w:r>
    </w:p>
    <w:p w14:paraId="1541EC1B" w14:textId="77777777" w:rsidR="00D51320" w:rsidRDefault="00D51320">
      <w:pPr>
        <w:rPr>
          <w:rFonts w:ascii="Times New Roman" w:eastAsia="Times New Roman" w:hAnsi="Times New Roman" w:cs="Times New Roman"/>
          <w:sz w:val="24"/>
          <w:szCs w:val="24"/>
        </w:rPr>
      </w:pPr>
      <w:bookmarkStart w:id="6" w:name="_jp2va28mwh2y" w:colFirst="0" w:colLast="0"/>
      <w:bookmarkEnd w:id="6"/>
    </w:p>
    <w:p w14:paraId="1D0B906B" w14:textId="77777777" w:rsidR="00D51320"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 CÁCH TÍNH THƯỞNG THEO KPI</w:t>
      </w:r>
    </w:p>
    <w:p w14:paraId="5FB00CB8"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 Mức thưởng KPI được tính dựa trên tỷ lệ hoàn thành chỉ tiêu công việc hàng tháng hoặc quý của từng cá nhân/bộ phận.</w:t>
      </w:r>
      <w:r>
        <w:rPr>
          <w:rFonts w:ascii="Times New Roman" w:eastAsia="Times New Roman" w:hAnsi="Times New Roman" w:cs="Times New Roman"/>
          <w:sz w:val="24"/>
          <w:szCs w:val="24"/>
        </w:rPr>
        <w:br/>
        <w:t>2. Hệ số thưởng được xác định dựa theo % KPI đạt được, quy định như sau:</w:t>
      </w:r>
    </w:p>
    <w:tbl>
      <w:tblPr>
        <w:tblStyle w:val="a0"/>
        <w:tblW w:w="96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345"/>
        <w:gridCol w:w="2985"/>
        <w:gridCol w:w="3285"/>
      </w:tblGrid>
      <w:tr w:rsidR="00D51320" w14:paraId="44D026F2" w14:textId="77777777">
        <w:trPr>
          <w:trHeight w:val="225"/>
        </w:trPr>
        <w:tc>
          <w:tcPr>
            <w:tcW w:w="334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7FE4E35B"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Mức đạt KPI (%)</w:t>
            </w:r>
          </w:p>
        </w:tc>
        <w:tc>
          <w:tcPr>
            <w:tcW w:w="298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AF30536"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Hệ số thưởng</w:t>
            </w:r>
          </w:p>
        </w:tc>
        <w:tc>
          <w:tcPr>
            <w:tcW w:w="328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281B9281"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Ghi chú</w:t>
            </w:r>
          </w:p>
        </w:tc>
      </w:tr>
      <w:tr w:rsidR="00D51320" w14:paraId="42BBAEAA" w14:textId="77777777">
        <w:trPr>
          <w:trHeight w:val="225"/>
        </w:trPr>
        <w:tc>
          <w:tcPr>
            <w:tcW w:w="334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072E1B8"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Dưới 70%</w:t>
            </w:r>
          </w:p>
        </w:tc>
        <w:tc>
          <w:tcPr>
            <w:tcW w:w="298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5249EE1D"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28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7940B70F"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Không thưởng KPI</w:t>
            </w:r>
          </w:p>
        </w:tc>
      </w:tr>
      <w:tr w:rsidR="00D51320" w14:paraId="52D69746" w14:textId="77777777">
        <w:trPr>
          <w:trHeight w:val="225"/>
        </w:trPr>
        <w:tc>
          <w:tcPr>
            <w:tcW w:w="334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35287F1C"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70% – 84%</w:t>
            </w:r>
          </w:p>
        </w:tc>
        <w:tc>
          <w:tcPr>
            <w:tcW w:w="298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6DA1165B"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328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57E3A24F"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Thưởng 50% mức KPI</w:t>
            </w:r>
          </w:p>
        </w:tc>
      </w:tr>
      <w:tr w:rsidR="00D51320" w14:paraId="0047F418" w14:textId="77777777">
        <w:trPr>
          <w:trHeight w:val="225"/>
        </w:trPr>
        <w:tc>
          <w:tcPr>
            <w:tcW w:w="334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D764BD3"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85% – 99%</w:t>
            </w:r>
          </w:p>
        </w:tc>
        <w:tc>
          <w:tcPr>
            <w:tcW w:w="298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E4786A4"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c>
          <w:tcPr>
            <w:tcW w:w="328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690502C3"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Thưởng 80% mức KPI</w:t>
            </w:r>
          </w:p>
        </w:tc>
      </w:tr>
      <w:tr w:rsidR="00D51320" w14:paraId="1BAED604" w14:textId="77777777">
        <w:trPr>
          <w:trHeight w:val="225"/>
        </w:trPr>
        <w:tc>
          <w:tcPr>
            <w:tcW w:w="334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636BFCDB"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298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40D049FB"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328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11B3040B"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Thưởng 100% KPI</w:t>
            </w:r>
          </w:p>
        </w:tc>
      </w:tr>
      <w:tr w:rsidR="00D51320" w14:paraId="45F5A58C" w14:textId="77777777">
        <w:trPr>
          <w:trHeight w:val="225"/>
        </w:trPr>
        <w:tc>
          <w:tcPr>
            <w:tcW w:w="334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1D551DE3"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101% – 119%</w:t>
            </w:r>
          </w:p>
        </w:tc>
        <w:tc>
          <w:tcPr>
            <w:tcW w:w="298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65685D69"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328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6FD47E14"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Thưởng vượt KPI</w:t>
            </w:r>
          </w:p>
        </w:tc>
      </w:tr>
      <w:tr w:rsidR="00D51320" w14:paraId="4713BAAD" w14:textId="77777777">
        <w:trPr>
          <w:trHeight w:val="225"/>
        </w:trPr>
        <w:tc>
          <w:tcPr>
            <w:tcW w:w="334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7BDCD56E" w14:textId="77777777" w:rsidR="00D51320" w:rsidRDefault="00000000">
            <w:pPr>
              <w:rPr>
                <w:rFonts w:ascii="Times New Roman" w:eastAsia="Times New Roman" w:hAnsi="Times New Roman" w:cs="Times New Roman"/>
                <w:sz w:val="24"/>
                <w:szCs w:val="24"/>
              </w:rPr>
            </w:pPr>
            <w:r>
              <w:rPr>
                <w:rFonts w:ascii="Gungsuh" w:eastAsia="Gungsuh" w:hAnsi="Gungsuh" w:cs="Gungsuh"/>
                <w:sz w:val="24"/>
                <w:szCs w:val="24"/>
              </w:rPr>
              <w:t>≥120%</w:t>
            </w:r>
          </w:p>
        </w:tc>
        <w:tc>
          <w:tcPr>
            <w:tcW w:w="298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61F4DA8A"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328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970CA76"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Thưởng gấp 1,5 lần KPI</w:t>
            </w:r>
          </w:p>
        </w:tc>
      </w:tr>
    </w:tbl>
    <w:p w14:paraId="5AED6653"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3. Thưởng KPI được tính theo công thức:</w:t>
      </w:r>
    </w:p>
    <w:p w14:paraId="607B5212"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Thưởng KPI = Mức thưởng KPI chuẩn × Hệ số thưởng tương ứng</w:t>
      </w:r>
    </w:p>
    <w:p w14:paraId="76086729" w14:textId="77777777" w:rsidR="00D51320" w:rsidRDefault="00D51320">
      <w:pPr>
        <w:rPr>
          <w:rFonts w:ascii="Times New Roman" w:eastAsia="Times New Roman" w:hAnsi="Times New Roman" w:cs="Times New Roman"/>
          <w:sz w:val="24"/>
          <w:szCs w:val="24"/>
        </w:rPr>
      </w:pPr>
      <w:bookmarkStart w:id="7" w:name="_c0ntz0luyy18" w:colFirst="0" w:colLast="0"/>
      <w:bookmarkEnd w:id="7"/>
    </w:p>
    <w:p w14:paraId="3B6A7BF1" w14:textId="77777777" w:rsidR="00D51320"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 MỨC THƯỞNG KPI CHUẨN THEO CẤP BẬC</w:t>
      </w:r>
    </w:p>
    <w:tbl>
      <w:tblPr>
        <w:tblStyle w:val="a1"/>
        <w:tblW w:w="95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530"/>
        <w:gridCol w:w="5040"/>
      </w:tblGrid>
      <w:tr w:rsidR="00D51320" w14:paraId="15CD217A" w14:textId="77777777">
        <w:trPr>
          <w:trHeight w:val="225"/>
        </w:trPr>
        <w:tc>
          <w:tcPr>
            <w:tcW w:w="453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7F21A3B0"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Cấp bậc</w:t>
            </w:r>
          </w:p>
        </w:tc>
        <w:tc>
          <w:tcPr>
            <w:tcW w:w="504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4891A0A8"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Mức thưởng KPI chuẩn (VNĐ/tháng)</w:t>
            </w:r>
          </w:p>
        </w:tc>
      </w:tr>
      <w:tr w:rsidR="00D51320" w14:paraId="19E3A76F" w14:textId="77777777">
        <w:trPr>
          <w:trHeight w:val="225"/>
        </w:trPr>
        <w:tc>
          <w:tcPr>
            <w:tcW w:w="453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798A13FE"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Ban Giám đốc / Trưởng bộ phận</w:t>
            </w:r>
          </w:p>
        </w:tc>
        <w:tc>
          <w:tcPr>
            <w:tcW w:w="504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412DECD6"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10.000.000</w:t>
            </w:r>
          </w:p>
        </w:tc>
      </w:tr>
      <w:tr w:rsidR="00D51320" w14:paraId="47C2491B" w14:textId="77777777">
        <w:trPr>
          <w:trHeight w:val="225"/>
        </w:trPr>
        <w:tc>
          <w:tcPr>
            <w:tcW w:w="453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4D9B110F"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Quản lý cấp trung / Giám sát</w:t>
            </w:r>
          </w:p>
        </w:tc>
        <w:tc>
          <w:tcPr>
            <w:tcW w:w="504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50EA4E14"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5.000.000</w:t>
            </w:r>
          </w:p>
        </w:tc>
      </w:tr>
      <w:tr w:rsidR="00D51320" w14:paraId="0176F57E" w14:textId="77777777">
        <w:trPr>
          <w:trHeight w:val="225"/>
        </w:trPr>
        <w:tc>
          <w:tcPr>
            <w:tcW w:w="453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37B639C"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Nhân viên / Lao động trực tiếp</w:t>
            </w:r>
          </w:p>
        </w:tc>
        <w:tc>
          <w:tcPr>
            <w:tcW w:w="504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2FA90022"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2.000.000</w:t>
            </w:r>
          </w:p>
        </w:tc>
      </w:tr>
    </w:tbl>
    <w:p w14:paraId="4BB48DC8" w14:textId="77777777" w:rsidR="00D51320" w:rsidRDefault="00D51320">
      <w:pPr>
        <w:rPr>
          <w:rFonts w:ascii="Times New Roman" w:eastAsia="Times New Roman" w:hAnsi="Times New Roman" w:cs="Times New Roman"/>
          <w:sz w:val="24"/>
          <w:szCs w:val="24"/>
        </w:rPr>
      </w:pPr>
      <w:bookmarkStart w:id="8" w:name="_puuovugfgqli" w:colFirst="0" w:colLast="0"/>
      <w:bookmarkEnd w:id="8"/>
    </w:p>
    <w:p w14:paraId="68B01589" w14:textId="77777777" w:rsidR="00D51320"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VII. CHÍNH SÁCH PHẠT VÀ ĐIỀU CHỈNH</w:t>
      </w:r>
    </w:p>
    <w:p w14:paraId="463712F1"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 Trường hợp nhân viên đạt dưới 70% KPI hoặc vi phạm nội quy, quy định công ty, mức thưởng KPI bị giảm tương ứng hoặc không được hưởng.</w:t>
      </w:r>
      <w:r>
        <w:rPr>
          <w:rFonts w:ascii="Times New Roman" w:eastAsia="Times New Roman" w:hAnsi="Times New Roman" w:cs="Times New Roman"/>
          <w:sz w:val="24"/>
          <w:szCs w:val="24"/>
        </w:rPr>
        <w:br/>
        <w:t>2. Trường hợp nhân viên đạt KPI nhưng có hành vi vi phạm kỷ luật, gian lận số liệu KPI sẽ bị hủy thưởng và xử lý theo quy định.</w:t>
      </w:r>
      <w:r>
        <w:rPr>
          <w:rFonts w:ascii="Times New Roman" w:eastAsia="Times New Roman" w:hAnsi="Times New Roman" w:cs="Times New Roman"/>
          <w:sz w:val="24"/>
          <w:szCs w:val="24"/>
        </w:rPr>
        <w:br/>
        <w:t>3. Trường hợp KPI bộ phận vượt 120%, Giám đốc có thể xem xét bổ sung mức thưởng vượt đặc biệt theo tình hình tài chính công ty.</w:t>
      </w:r>
    </w:p>
    <w:p w14:paraId="49DE9027" w14:textId="77777777" w:rsidR="00D51320" w:rsidRDefault="00D51320">
      <w:pPr>
        <w:rPr>
          <w:rFonts w:ascii="Times New Roman" w:eastAsia="Times New Roman" w:hAnsi="Times New Roman" w:cs="Times New Roman"/>
          <w:sz w:val="24"/>
          <w:szCs w:val="24"/>
        </w:rPr>
      </w:pPr>
      <w:bookmarkStart w:id="9" w:name="_r8himl92p6hv" w:colFirst="0" w:colLast="0"/>
      <w:bookmarkEnd w:id="9"/>
    </w:p>
    <w:p w14:paraId="7A4CF185" w14:textId="77777777" w:rsidR="00D51320"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VIII. BẢO HIỂM, THUẾ VÀ PHÚC LỢI</w:t>
      </w:r>
    </w:p>
    <w:p w14:paraId="74DA74D9" w14:textId="78763750"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Tiền lương làm căn cứ đóng bảo hiểm xã hội, bảo hiểm y tế và bảo hiểm thất nghiệp được xác định theo quy định tại Luật BHXH </w:t>
      </w:r>
      <w:r w:rsidR="006A4BD7" w:rsidRPr="005A26BA">
        <w:rPr>
          <w:rFonts w:ascii="Times New Roman" w:eastAsia="Times New Roman" w:hAnsi="Times New Roman" w:cs="Times New Roman"/>
          <w:sz w:val="24"/>
          <w:szCs w:val="24"/>
        </w:rPr>
        <w:t>số 41/2024/QH15</w:t>
      </w:r>
      <w:r>
        <w:rPr>
          <w:rFonts w:ascii="Times New Roman" w:eastAsia="Times New Roman" w:hAnsi="Times New Roman" w:cs="Times New Roman"/>
          <w:sz w:val="24"/>
          <w:szCs w:val="24"/>
        </w:rPr>
        <w:t xml:space="preserve"> và Điều 21 Nghị định 145/2020/NĐ-CP.</w:t>
      </w:r>
      <w:r>
        <w:rPr>
          <w:rFonts w:ascii="Times New Roman" w:eastAsia="Times New Roman" w:hAnsi="Times New Roman" w:cs="Times New Roman"/>
          <w:sz w:val="24"/>
          <w:szCs w:val="24"/>
        </w:rPr>
        <w:br/>
        <w:t>2. Công ty thực hiện khấu trừ thuế thu nhập cá nhân theo quy định của Luật Thuế TNCN hiện hành.</w:t>
      </w:r>
      <w:r>
        <w:rPr>
          <w:rFonts w:ascii="Times New Roman" w:eastAsia="Times New Roman" w:hAnsi="Times New Roman" w:cs="Times New Roman"/>
          <w:sz w:val="24"/>
          <w:szCs w:val="24"/>
        </w:rPr>
        <w:br/>
        <w:t>3. Các quyền lợi phúc lợi khác (nghỉ phép, lễ, Tết, hiếu hỉ, thai sản, sinh nhật...) được áp dụng theo chính sách phúc lợi chung của công ty.</w:t>
      </w:r>
    </w:p>
    <w:p w14:paraId="7BC19AA5" w14:textId="77777777" w:rsidR="00D51320" w:rsidRDefault="00D51320">
      <w:pPr>
        <w:rPr>
          <w:rFonts w:ascii="Times New Roman" w:eastAsia="Times New Roman" w:hAnsi="Times New Roman" w:cs="Times New Roman"/>
          <w:sz w:val="24"/>
          <w:szCs w:val="24"/>
        </w:rPr>
      </w:pPr>
      <w:bookmarkStart w:id="10" w:name="_2e85i67xjztv" w:colFirst="0" w:colLast="0"/>
      <w:bookmarkEnd w:id="10"/>
    </w:p>
    <w:p w14:paraId="4D56A8D9" w14:textId="77777777" w:rsidR="00D51320"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IX. HIỆU LỰC THI HÀNH</w:t>
      </w:r>
    </w:p>
    <w:p w14:paraId="10985EE2" w14:textId="77777777" w:rsidR="00D5132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Quy chế này có hiệu lực kể từ ngày ký và được áp dụng thống nhất trong toàn công ty. Phòng Hành chính – Nhân sự chịu trách nhiệm hướng dẫn, theo dõi và giám sát việc thực hiện quy chế này. Các quy định trước đây trái với quy chế này đều bãi bỏ.</w:t>
      </w:r>
    </w:p>
    <w:p w14:paraId="407CB39B" w14:textId="77777777" w:rsidR="00D51320" w:rsidRDefault="00D51320">
      <w:pPr>
        <w:spacing w:after="200"/>
        <w:rPr>
          <w:rFonts w:ascii="Times New Roman" w:eastAsia="Times New Roman" w:hAnsi="Times New Roman" w:cs="Times New Roman"/>
          <w:sz w:val="26"/>
          <w:szCs w:val="26"/>
        </w:rPr>
      </w:pPr>
      <w:bookmarkStart w:id="11" w:name="_lz0uv09j4pqe" w:colFirst="0" w:colLast="0"/>
      <w:bookmarkEnd w:id="11"/>
    </w:p>
    <w:p w14:paraId="0B03214C" w14:textId="77777777" w:rsidR="00D51320" w:rsidRDefault="00D51320">
      <w:pPr>
        <w:spacing w:after="200"/>
        <w:jc w:val="center"/>
        <w:rPr>
          <w:rFonts w:ascii="Times New Roman" w:eastAsia="Times New Roman" w:hAnsi="Times New Roman" w:cs="Times New Roman"/>
          <w:sz w:val="26"/>
          <w:szCs w:val="26"/>
        </w:rPr>
      </w:pPr>
    </w:p>
    <w:p w14:paraId="122107E0" w14:textId="77777777" w:rsidR="00D51320" w:rsidRDefault="00D51320">
      <w:pPr>
        <w:widowControl w:val="0"/>
        <w:spacing w:line="240" w:lineRule="auto"/>
        <w:jc w:val="both"/>
        <w:rPr>
          <w:rFonts w:ascii="Times New Roman" w:eastAsia="Times New Roman" w:hAnsi="Times New Roman" w:cs="Times New Roman"/>
          <w:sz w:val="26"/>
          <w:szCs w:val="26"/>
        </w:rPr>
      </w:pPr>
    </w:p>
    <w:tbl>
      <w:tblPr>
        <w:tblStyle w:val="a2"/>
        <w:tblW w:w="9242" w:type="dxa"/>
        <w:tblInd w:w="-108" w:type="dxa"/>
        <w:tblLayout w:type="fixed"/>
        <w:tblLook w:val="0000" w:firstRow="0" w:lastRow="0" w:firstColumn="0" w:lastColumn="0" w:noHBand="0" w:noVBand="0"/>
      </w:tblPr>
      <w:tblGrid>
        <w:gridCol w:w="4621"/>
        <w:gridCol w:w="4621"/>
      </w:tblGrid>
      <w:tr w:rsidR="00D51320" w14:paraId="050EBEFC" w14:textId="77777777">
        <w:tc>
          <w:tcPr>
            <w:tcW w:w="4621" w:type="dxa"/>
          </w:tcPr>
          <w:p w14:paraId="1837D6BF" w14:textId="77777777" w:rsidR="00D51320"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u w:val="single"/>
              </w:rPr>
              <w:t>Nơi nhận:</w:t>
            </w:r>
          </w:p>
        </w:tc>
        <w:tc>
          <w:tcPr>
            <w:tcW w:w="4621" w:type="dxa"/>
          </w:tcPr>
          <w:p w14:paraId="313623F8" w14:textId="77777777" w:rsidR="00D51320" w:rsidRDefault="00000000">
            <w:pPr>
              <w:widowControl w:val="0"/>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GIÁM ĐỐC</w:t>
            </w:r>
          </w:p>
        </w:tc>
      </w:tr>
      <w:tr w:rsidR="00D51320" w14:paraId="604AA536" w14:textId="77777777">
        <w:tc>
          <w:tcPr>
            <w:tcW w:w="4621" w:type="dxa"/>
          </w:tcPr>
          <w:p w14:paraId="21C16D84" w14:textId="77777777" w:rsidR="00D51320"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4"/>
                <w:szCs w:val="24"/>
              </w:rPr>
              <w:t>Các phòng ban Công ty</w:t>
            </w:r>
          </w:p>
          <w:p w14:paraId="14931BA0" w14:textId="77777777" w:rsidR="00D51320"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Toàn thể cán bộ, nhân viên</w:t>
            </w:r>
          </w:p>
          <w:p w14:paraId="6A978537" w14:textId="77777777" w:rsidR="00D51320" w:rsidRDefault="00000000">
            <w:pPr>
              <w:widowControl w:val="0"/>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4"/>
                <w:szCs w:val="24"/>
              </w:rPr>
              <w:t>- Lưu VT</w:t>
            </w:r>
          </w:p>
        </w:tc>
        <w:tc>
          <w:tcPr>
            <w:tcW w:w="4621" w:type="dxa"/>
          </w:tcPr>
          <w:p w14:paraId="51DE82BE" w14:textId="77777777" w:rsidR="00D51320" w:rsidRDefault="00000000">
            <w:pPr>
              <w:widowControl w:val="0"/>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i/>
                <w:iCs/>
                <w:sz w:val="26"/>
                <w:szCs w:val="26"/>
              </w:rPr>
              <w:t>(Ký tên, ghi rõ họ tên và đóng dấu)</w:t>
            </w:r>
          </w:p>
        </w:tc>
      </w:tr>
    </w:tbl>
    <w:p w14:paraId="2AB101ED" w14:textId="77777777" w:rsidR="00D51320" w:rsidRDefault="00D51320">
      <w:pPr>
        <w:widowControl w:val="0"/>
        <w:spacing w:line="240" w:lineRule="auto"/>
        <w:jc w:val="both"/>
      </w:pPr>
    </w:p>
    <w:sectPr w:rsidR="00D5132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ungsuh">
    <w:charset w:val="81"/>
    <w:family w:val="roman"/>
    <w:pitch w:val="variable"/>
    <w:sig w:usb0="B00002AF" w:usb1="69D77CFB" w:usb2="00000030" w:usb3="00000000" w:csb0="0008009F" w:csb1="00000000"/>
    <w:embedRegular r:id="rId1" w:subsetted="1" w:fontKey="{C01A387A-7641-44ED-9F36-AD7201D179C1}"/>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2" w:fontKey="{09C02915-05C1-4D8C-AA33-0060D55A429F}"/>
  </w:font>
  <w:font w:name="Cambria">
    <w:panose1 w:val="02040503050406030204"/>
    <w:charset w:val="00"/>
    <w:family w:val="roman"/>
    <w:pitch w:val="variable"/>
    <w:sig w:usb0="E00006FF" w:usb1="420024FF" w:usb2="02000000" w:usb3="00000000" w:csb0="0000019F" w:csb1="00000000"/>
    <w:embedRegular r:id="rId3" w:fontKey="{4DA7F184-F0A5-496A-A8FF-16BC39DCA8D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oNotDisplayPageBoundaries/>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320"/>
    <w:rsid w:val="005A26BA"/>
    <w:rsid w:val="006A4BD7"/>
    <w:rsid w:val="00D513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FA50C"/>
  <w15:docId w15:val="{CDB0B790-8A11-4739-8E0A-D5E94397B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6221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577</Words>
  <Characters>3290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Phòng Kinh Doanh</cp:lastModifiedBy>
  <cp:revision>2</cp:revision>
  <dcterms:created xsi:type="dcterms:W3CDTF">2026-05-23T07:37:00Z</dcterms:created>
  <dcterms:modified xsi:type="dcterms:W3CDTF">2026-05-23T07:52:00Z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4c4604e7-22e8-4221-978c-002e5f541388</vt:lpwstr>
  </property>
</Properties>
</file>